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jc w:val="both"/>
        <w:rPr>
          <w:lang w:val="es-VE"/>
        </w:rPr>
      </w:pPr>
      <w:r>
        <w:rPr>
          <w:lang w:val="es-VE"/>
        </w:rPr>
      </w:r>
    </w:p>
    <w:p>
      <w:pPr>
        <w:pStyle w:val="Title"/>
        <w:rPr>
          <w:lang w:val="es-VE"/>
        </w:rPr>
      </w:pPr>
      <w:r>
        <w:rPr>
          <w:lang w:val="es-VE"/>
        </w:rPr>
        <w:t>Título del trabajo</w:t>
      </w:r>
    </w:p>
    <w:p>
      <w:pPr>
        <w:pStyle w:val="Author"/>
        <w:jc w:val="both"/>
        <w:rPr/>
      </w:pPr>
      <w:r>
        <w:rPr>
          <w:sz w:val="22"/>
          <w:lang w:val="es-ES"/>
        </w:rPr>
        <w:t>An</w:t>
      </w:r>
      <w:r>
        <w:rPr>
          <w:rFonts w:eastAsia="Batang;바탕" w:cs="Times New Roman"/>
          <w:color w:val="auto"/>
          <w:sz w:val="22"/>
          <w:szCs w:val="24"/>
          <w:lang w:val="es-ES" w:bidi="ar-SA"/>
        </w:rPr>
        <w:t>álisis del perfil de dispersión de la relajación magnética del protón en soluciones de hemoglobina intracelular: modelo de tres sitios de intercambio</w:t>
      </w:r>
    </w:p>
    <w:p>
      <w:pPr>
        <w:pStyle w:val="Author"/>
        <w:jc w:val="both"/>
        <w:rPr>
          <w:sz w:val="22"/>
          <w:lang w:val="es-ES"/>
        </w:rPr>
      </w:pPr>
      <w:r>
        <w:rPr>
          <w:sz w:val="22"/>
          <w:lang w:val="es-ES"/>
        </w:rPr>
      </w:r>
    </w:p>
    <w:p>
      <w:pPr>
        <w:pStyle w:val="Author"/>
        <w:rPr/>
      </w:pPr>
      <w:r>
        <w:rPr>
          <w:lang w:val="es-ES"/>
        </w:rPr>
        <w:t>Manuel Arsenio Lores Guevara</w:t>
      </w:r>
      <w:r>
        <w:rPr>
          <w:vertAlign w:val="superscript"/>
          <w:lang w:val="es-ES"/>
        </w:rPr>
        <w:t>1</w:t>
      </w:r>
      <w:r>
        <w:rPr>
          <w:lang w:val="es-ES"/>
        </w:rPr>
        <w:t xml:space="preserve"> </w:t>
        <w:br/>
        <w:t>Carlos alberto Cabal Mirabal</w:t>
      </w:r>
      <w:r>
        <w:rPr>
          <w:rStyle w:val="Superscript"/>
          <w:lang w:val="es-ES"/>
        </w:rPr>
        <w:t xml:space="preserve"> 2</w:t>
        <w:br/>
      </w:r>
      <w:r>
        <w:rPr>
          <w:rStyle w:val="Superscript"/>
          <w:position w:val="0"/>
          <w:sz w:val="24"/>
          <w:sz w:val="24"/>
          <w:vertAlign w:val="baseline"/>
          <w:lang w:val="es-ES"/>
        </w:rPr>
        <w:t>Robert N. Muller</w:t>
      </w:r>
      <w:r>
        <w:rPr>
          <w:rStyle w:val="Superscript"/>
          <w:vertAlign w:val="superscript"/>
          <w:lang w:val="es-ES"/>
        </w:rPr>
        <w:t>3</w:t>
      </w:r>
    </w:p>
    <w:p>
      <w:pPr>
        <w:pStyle w:val="Author"/>
        <w:rPr/>
      </w:pPr>
      <w:r>
        <w:rPr>
          <w:position w:val="0"/>
          <w:sz w:val="24"/>
          <w:sz w:val="24"/>
          <w:vertAlign w:val="baseline"/>
          <w:lang w:val="es-ES"/>
        </w:rPr>
        <w:t>Sophie Laurent</w:t>
      </w:r>
      <w:r>
        <w:rPr>
          <w:vertAlign w:val="superscript"/>
          <w:lang w:val="es-ES"/>
        </w:rPr>
        <w:t>3</w:t>
      </w:r>
      <w:r>
        <w:rPr>
          <w:lang w:val="es-ES"/>
        </w:rPr>
        <w:t xml:space="preserve"> </w:t>
        <w:br/>
        <w:t>Fabian Tamayo Delgado</w:t>
      </w:r>
      <w:r>
        <w:rPr>
          <w:vertAlign w:val="superscript"/>
          <w:lang w:val="es-ES"/>
        </w:rPr>
        <w:t>1</w:t>
      </w:r>
      <w:r>
        <w:rPr>
          <w:rStyle w:val="Superscript"/>
          <w:lang w:val="es-ES"/>
        </w:rPr>
        <w:br/>
      </w:r>
      <w:r>
        <w:rPr>
          <w:rStyle w:val="Superscript"/>
          <w:position w:val="0"/>
          <w:sz w:val="24"/>
          <w:sz w:val="24"/>
          <w:vertAlign w:val="baseline"/>
          <w:lang w:val="es-ES"/>
        </w:rPr>
        <w:t>Juan Carlos Garc</w:t>
      </w:r>
      <w:r>
        <w:rPr>
          <w:rStyle w:val="Superscript"/>
          <w:rFonts w:eastAsia="Batang;바탕" w:cs="Times New Roman"/>
          <w:color w:val="auto"/>
          <w:position w:val="0"/>
          <w:sz w:val="24"/>
          <w:sz w:val="24"/>
          <w:szCs w:val="24"/>
          <w:vertAlign w:val="baseline"/>
          <w:lang w:val="es-ES" w:bidi="ar-SA"/>
        </w:rPr>
        <w:t>ía Naranjo</w:t>
      </w:r>
      <w:r>
        <w:rPr>
          <w:vertAlign w:val="superscript"/>
          <w:lang w:val="es-ES"/>
        </w:rPr>
        <w:t>1</w:t>
      </w:r>
    </w:p>
    <w:p>
      <w:pPr>
        <w:pStyle w:val="Author"/>
        <w:jc w:val="both"/>
        <w:rPr>
          <w:rFonts w:eastAsia="Times New Roman"/>
          <w:lang w:val="es-ES"/>
        </w:rPr>
      </w:pPr>
      <w:r>
        <w:rPr>
          <w:rFonts w:eastAsia="Times New Roman"/>
          <w:lang w:val="es-ES"/>
        </w:rPr>
        <w:t xml:space="preserve"> </w:t>
      </w:r>
    </w:p>
    <w:p>
      <w:pPr>
        <w:pStyle w:val="Authorinfo"/>
        <w:suppressAutoHyphens w:val="true"/>
        <w:spacing w:before="0" w:after="0"/>
        <w:contextualSpacing/>
        <w:jc w:val="both"/>
        <w:rPr/>
      </w:pPr>
      <w:r>
        <w:rPr>
          <w:vertAlign w:val="superscript"/>
          <w:lang w:val="es-VE" w:eastAsia="en-US"/>
        </w:rPr>
        <w:t>1</w:t>
      </w:r>
      <w:r>
        <w:rPr>
          <w:lang w:val="es-VE"/>
        </w:rPr>
        <w:t xml:space="preserve"> Centro de Biof</w:t>
      </w:r>
      <w:r>
        <w:rPr>
          <w:rFonts w:eastAsia="Batang;바탕" w:cs="Times New Roman"/>
          <w:color w:val="auto"/>
          <w:sz w:val="18"/>
          <w:szCs w:val="20"/>
          <w:lang w:val="es-VE" w:bidi="ar-SA"/>
        </w:rPr>
        <w:t>ísica Médica</w:t>
      </w:r>
      <w:r>
        <w:rPr>
          <w:lang w:val="es-VE"/>
        </w:rPr>
        <w:t>, Santiago de Cuba, Cuba</w:t>
      </w:r>
      <w:r>
        <w:rPr>
          <w:lang w:val="es-VE" w:eastAsia="en-US"/>
        </w:rPr>
        <w:t xml:space="preserve"> </w:t>
      </w:r>
    </w:p>
    <w:p>
      <w:pPr>
        <w:pStyle w:val="Authorinfo"/>
        <w:suppressAutoHyphens w:val="true"/>
        <w:jc w:val="both"/>
        <w:rPr/>
      </w:pPr>
      <w:r>
        <w:rPr>
          <w:vertAlign w:val="superscript"/>
          <w:lang w:val="es-VE"/>
        </w:rPr>
        <w:t>2</w:t>
      </w:r>
      <w:r>
        <w:rPr>
          <w:lang w:val="es-VE" w:eastAsia="en-US"/>
        </w:rPr>
        <w:t xml:space="preserve"> Facultad de F</w:t>
      </w:r>
      <w:r>
        <w:rPr>
          <w:rFonts w:eastAsia="Batang;바탕" w:cs="Times New Roman"/>
          <w:color w:val="auto"/>
          <w:sz w:val="18"/>
          <w:szCs w:val="20"/>
          <w:lang w:val="es-VE" w:eastAsia="en-US" w:bidi="ar-SA"/>
        </w:rPr>
        <w:t>ísica Universidad de la Habana</w:t>
      </w:r>
      <w:r>
        <w:rPr>
          <w:lang w:val="es-VE"/>
        </w:rPr>
        <w:t>, La Habana, Cuba</w:t>
      </w:r>
    </w:p>
    <w:p>
      <w:pPr>
        <w:pStyle w:val="Authorinfo"/>
        <w:suppressAutoHyphens w:val="true"/>
        <w:jc w:val="both"/>
        <w:rPr>
          <w:b w:val="false"/>
          <w:b w:val="false"/>
          <w:sz w:val="24"/>
          <w:szCs w:val="24"/>
          <w:lang w:val="es-VE"/>
        </w:rPr>
      </w:pPr>
      <w:r>
        <w:rPr>
          <w:vertAlign w:val="superscript"/>
          <w:lang w:val="es-VE" w:eastAsia="en-US"/>
        </w:rPr>
        <w:t>3</w:t>
      </w:r>
      <w:r>
        <w:rPr>
          <w:lang w:val="es-VE" w:eastAsia="en-US"/>
        </w:rPr>
        <w:t xml:space="preserve"> </w:t>
      </w:r>
      <w:r>
        <w:rPr>
          <w:rFonts w:eastAsia="Batang;바탕" w:cs="Times New Roman"/>
          <w:color w:val="auto"/>
          <w:sz w:val="18"/>
          <w:szCs w:val="20"/>
          <w:lang w:val="es-VE" w:eastAsia="en-US" w:bidi="ar-SA"/>
        </w:rPr>
        <w:t>Laboratoire de RMN et d’Imagerie Moléculaire. Service de Chimie Générale, Organique et Biomédicale. Faculté de Médecine et    de Pharmacie. Université de Mons. Mons, Belgique</w:t>
      </w:r>
    </w:p>
    <w:p>
      <w:pPr>
        <w:pStyle w:val="Keywords"/>
        <w:suppressAutoHyphens w:val="true"/>
        <w:ind w:left="0" w:right="0" w:hanging="0"/>
        <w:rPr>
          <w:b w:val="false"/>
          <w:b w:val="false"/>
          <w:sz w:val="24"/>
          <w:szCs w:val="24"/>
          <w:lang w:val="es-VE"/>
        </w:rPr>
      </w:pPr>
      <w:r>
        <w:rPr>
          <w:b w:val="false"/>
          <w:sz w:val="24"/>
          <w:szCs w:val="24"/>
          <w:lang w:val="es-VE"/>
        </w:rPr>
      </w:r>
    </w:p>
    <w:p>
      <w:pPr>
        <w:pStyle w:val="Keywords"/>
        <w:suppressAutoHyphens w:val="true"/>
        <w:spacing w:before="0" w:after="200"/>
        <w:ind w:left="0" w:right="0" w:hanging="0"/>
        <w:contextualSpacing/>
        <w:jc w:val="center"/>
        <w:rPr/>
      </w:pPr>
      <w:r>
        <w:rPr>
          <w:rStyle w:val="Initial12"/>
          <w:sz w:val="28"/>
          <w:lang w:val="es-ES"/>
        </w:rPr>
        <w:t>RESUMEN</w:t>
        <w:tab/>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Introducción:</w:t>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El modelo de intercambio de tres sitios (3SEM) se utilizó correctamente para describir la dispersión de relajación magnética de protones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Style w:val="Initial12"/>
          <w:rFonts w:eastAsia="Batang;바탕" w:cs="Times New Roman"/>
          <w:color w:val="auto"/>
          <w:kern w:val="0"/>
          <w:sz w:val="24"/>
          <w:szCs w:val="24"/>
          <w:lang w:val="es-VE" w:eastAsia="zh-CN" w:bidi="ar-SA"/>
        </w:rPr>
        <w:t>)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Style w:val="Initial12"/>
          <w:rFonts w:eastAsia="Batang;바탕" w:cs="Times New Roman"/>
          <w:color w:val="auto"/>
          <w:kern w:val="0"/>
          <w:sz w:val="24"/>
          <w:szCs w:val="24"/>
          <w:lang w:val="es-VE" w:eastAsia="zh-CN" w:bidi="ar-SA"/>
        </w:rPr>
        <w:t>) en muestras intracelulares de hemoglobina A (HbA) y hemoglobina S (HbS) a 310 K.</w:t>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Métodos:</w:t>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 xml:space="preserve">Las muestras de HbA y HbS se obtuvieron de sangre total de donantes voluntarios y de pacientes, respectivamente, y procesada por métodos clásicos (centrifugación, decantación y ciclos de congelación-descongelación). Los perfiles 1HMRD (20 kHz–60 MHz) se obtuvieron utilizando un Relaxómetro de RMN de Ciclo Rápido de Campo (Stelar FFC 2000 Spinmaster) y relaxómetros Minispec (Mq20, Mq60). </w:t>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Resultados:</w:t>
      </w:r>
    </w:p>
    <w:p>
      <w:pPr>
        <w:pStyle w:val="Normal"/>
        <w:suppressAutoHyphens w:val="true"/>
        <w:spacing w:before="0" w:after="200"/>
        <w:ind w:left="0" w:right="0" w:hanging="0"/>
        <w:contextualSpacing/>
        <w:jc w:val="both"/>
        <w:rPr/>
      </w:pPr>
      <w:r>
        <w:rPr>
          <w:rStyle w:val="Initial12"/>
          <w:rFonts w:eastAsia="Batang;바탕" w:cs="Times New Roman"/>
          <w:color w:val="auto"/>
          <w:kern w:val="0"/>
          <w:sz w:val="24"/>
          <w:szCs w:val="24"/>
          <w:lang w:val="es-VE" w:eastAsia="zh-CN" w:bidi="ar-SA"/>
        </w:rPr>
        <w:t>El 3SEM utilizado incluye el aporte de protones lábiles de la estructura de la proteína; y la contribución de la relajación cruzada a la dispersión se estimó como: al menos un orden de magnitud menor que la dispersión total. Se encontraron dos dispersiones: una describiendo adecuadamente el tiempo de correlación rotacional de la hemoglobina y otra probablemente relacionada con moléculas de agua interna y/o hidratada con tiempos de correlación efectivos mayores a 1 ns y tiempos de residencia principal menores al tiempo de correlación rotacional de la proteína. El uso del 3SEM crea las condiciones para explicar adecuadamente la relajación magnética de protones durante el proceso de polimerización de HbS.</w:t>
      </w:r>
    </w:p>
    <w:p>
      <w:pPr>
        <w:pStyle w:val="Keywords"/>
        <w:suppressAutoHyphens w:val="true"/>
        <w:spacing w:before="0" w:after="200"/>
        <w:ind w:left="0" w:right="0" w:hanging="0"/>
        <w:contextualSpacing/>
        <w:jc w:val="center"/>
        <w:rPr/>
      </w:pPr>
      <w:r>
        <w:rPr>
          <w:rStyle w:val="Initial12"/>
          <w:sz w:val="28"/>
          <w:lang w:val="es-ES"/>
        </w:rPr>
        <w:t>I</w:t>
      </w:r>
      <w:r>
        <w:rPr>
          <w:sz w:val="28"/>
          <w:szCs w:val="24"/>
          <w:lang w:val="es-ES"/>
        </w:rPr>
        <w:t>NTRODUCCIÓN</w:t>
      </w:r>
    </w:p>
    <w:p>
      <w:pPr>
        <w:pStyle w:val="Normal"/>
        <w:suppressAutoHyphens w:val="true"/>
        <w:ind w:left="0" w:right="0" w:hanging="0"/>
        <w:rPr/>
      </w:pPr>
      <w:r>
        <w:rPr/>
      </w:r>
    </w:p>
    <w:p>
      <w:pPr>
        <w:pStyle w:val="Normal"/>
        <w:ind w:left="0" w:right="0" w:hanging="0"/>
        <w:jc w:val="both"/>
        <w:rPr/>
      </w:pPr>
      <w:r>
        <w:rPr>
          <w:rFonts w:eastAsia="Batang;바탕" w:cs="Times New Roman"/>
          <w:color w:val="auto"/>
          <w:sz w:val="24"/>
          <w:szCs w:val="24"/>
          <w:lang w:val="es-VE" w:eastAsia="zh-CN" w:bidi="ar-SA"/>
        </w:rPr>
        <w:t>La relajación magnética de protones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se ha utilizado con éxito para desarrollar aplicaciones médicas [1–4] en la enfermedad de células falciformes (ECF) [5-10]. El comportamiento de los tiempos de relajación transversal (</w:t>
      </w:r>
      <w:r>
        <w:rPr/>
      </w:r>
      <m:oMath xmlns:m="http://schemas.openxmlformats.org/officeDocument/2006/math">
        <m:sSub>
          <m:e>
            <m:r>
              <w:rPr>
                <w:rFonts w:ascii="Cambria Math" w:hAnsi="Cambria Math"/>
              </w:rPr>
              <m:t xml:space="preserve">T</m:t>
            </m:r>
          </m:e>
          <m:sub>
            <m:r>
              <w:rPr>
                <w:rFonts w:ascii="Cambria Math" w:hAnsi="Cambria Math"/>
              </w:rPr>
              <m:t xml:space="preserve">2</m:t>
            </m:r>
          </m:sub>
        </m:sSub>
      </m:oMath>
      <w:r>
        <w:rPr>
          <w:rFonts w:eastAsia="Batang;바탕" w:cs="Times New Roman"/>
          <w:color w:val="auto"/>
          <w:sz w:val="24"/>
          <w:szCs w:val="24"/>
          <w:lang w:val="es-VE" w:eastAsia="zh-CN" w:bidi="ar-SA"/>
        </w:rPr>
        <w:t>) y longitudinal (</w:t>
      </w:r>
      <w:r>
        <w:rPr/>
      </w:r>
      <m:oMath xmlns:m="http://schemas.openxmlformats.org/officeDocument/2006/math">
        <m:sSub>
          <m:e>
            <m:r>
              <w:rPr>
                <w:rFonts w:ascii="Cambria Math" w:hAnsi="Cambria Math"/>
              </w:rPr>
              <m:t xml:space="preserve">T</m:t>
            </m:r>
          </m:e>
          <m:sub>
            <m:r>
              <w:rPr>
                <w:rFonts w:ascii="Cambria Math" w:hAnsi="Cambria Math"/>
              </w:rPr>
              <m:t xml:space="preserve">1</m:t>
            </m:r>
          </m:sub>
        </m:sSub>
      </m:oMath>
      <w:r>
        <w:rPr>
          <w:rFonts w:eastAsia="Batang;바탕" w:cs="Times New Roman"/>
          <w:color w:val="auto"/>
          <w:sz w:val="24"/>
          <w:szCs w:val="24"/>
          <w:lang w:val="es-VE" w:eastAsia="zh-CN" w:bidi="ar-SA"/>
        </w:rPr>
        <w:t xml:space="preserve">) en soluciones de hemoglobina intracelular (Hb) ha permitido determinar el tiempo de retardo del proceso de polimerización de la hemoglobina S (HbS) [1, 2]; dando la posibilidad de diferenciar la crisis y el estado estacionario en pacientes con ECF [2], así como evaluar un tratamiento potencial [1, 2, 4]. Para explicar estos comportamientos de </w:t>
      </w:r>
      <w:r>
        <w:rPr/>
      </w:r>
      <m:oMath xmlns:m="http://schemas.openxmlformats.org/officeDocument/2006/math">
        <m:sSub>
          <m:e>
            <m:r>
              <w:rPr>
                <w:rFonts w:ascii="Cambria Math" w:hAnsi="Cambria Math"/>
              </w:rPr>
              <m:t xml:space="preserve">T</m:t>
            </m:r>
          </m:e>
          <m:sub>
            <m:r>
              <w:rPr>
                <w:rFonts w:ascii="Cambria Math" w:hAnsi="Cambria Math"/>
              </w:rPr>
              <m:t xml:space="preserve">1</m:t>
            </m:r>
          </m:sub>
        </m:sSub>
      </m:oMath>
      <w:r>
        <w:rPr>
          <w:rFonts w:eastAsia="Batang;바탕" w:cs="Times New Roman"/>
          <w:color w:val="auto"/>
          <w:sz w:val="24"/>
          <w:szCs w:val="24"/>
          <w:lang w:val="es-VE" w:eastAsia="zh-CN" w:bidi="ar-SA"/>
        </w:rPr>
        <w:t xml:space="preserve"> y </w:t>
      </w:r>
      <w:r>
        <w:rPr/>
      </w:r>
      <m:oMath xmlns:m="http://schemas.openxmlformats.org/officeDocument/2006/math">
        <m:sSub>
          <m:e>
            <m:r>
              <w:rPr>
                <w:rFonts w:ascii="Cambria Math" w:hAnsi="Cambria Math"/>
              </w:rPr>
              <m:t xml:space="preserve">T</m:t>
            </m:r>
          </m:e>
          <m:sub>
            <m:r>
              <w:rPr>
                <w:rFonts w:ascii="Cambria Math" w:hAnsi="Cambria Math"/>
              </w:rPr>
              <m:t xml:space="preserve">2</m:t>
            </m:r>
          </m:sub>
        </m:sSub>
      </m:oMath>
      <w:r>
        <w:rPr>
          <w:rFonts w:eastAsia="Batang;바탕" w:cs="Times New Roman"/>
          <w:color w:val="auto"/>
          <w:sz w:val="24"/>
          <w:szCs w:val="24"/>
          <w:lang w:val="es-VE" w:eastAsia="zh-CN" w:bidi="ar-SA"/>
        </w:rPr>
        <w:t>, se ha utilizado un modelo de intercambio de agua de dos sitios (2SWEM) [11–17] considerando un aumento del tiempo de correlación rotacional de Hb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Batang;바탕" w:cs="Times New Roman"/>
          <w:color w:val="auto"/>
          <w:sz w:val="24"/>
          <w:szCs w:val="24"/>
          <w:lang w:val="es-VE" w:eastAsia="zh-CN" w:bidi="ar-SA"/>
        </w:rPr>
        <w:t xml:space="preserve">) de 50 a 98 ns [1, 2] . Sin embargo, los valores de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Batang;바탕" w:cs="Times New Roman"/>
          <w:color w:val="auto"/>
          <w:sz w:val="24"/>
          <w:szCs w:val="24"/>
          <w:lang w:val="es-VE" w:eastAsia="zh-CN" w:bidi="ar-SA"/>
        </w:rPr>
        <w:t xml:space="preserve"> obtenidos para soluciones de Hb intracelular no coinciden con los valores esperados según los modelos de Debye y Mooney (~ 172 ns) [18], además, este análisis no considera el comportamiento de la fracción de agua enlazada (</w:t>
      </w:r>
      <w:r>
        <w:rPr/>
      </w:r>
      <m:oMath xmlns:m="http://schemas.openxmlformats.org/officeDocument/2006/math">
        <m:sSub>
          <m:e>
            <m:r>
              <w:rPr>
                <w:rFonts w:ascii="Cambria Math" w:hAnsi="Cambria Math"/>
              </w:rPr>
              <m:t xml:space="preserve">P</m:t>
            </m:r>
          </m:e>
          <m:sub>
            <m:r>
              <w:rPr>
                <w:rFonts w:ascii="Cambria Math" w:hAnsi="Cambria Math"/>
              </w:rPr>
              <m:t xml:space="preserve">b</m:t>
            </m:r>
          </m:sub>
        </m:sSub>
      </m:oMath>
      <w:r>
        <w:rPr>
          <w:rFonts w:eastAsia="Batang;바탕" w:cs="Times New Roman"/>
          <w:color w:val="auto"/>
          <w:sz w:val="24"/>
          <w:szCs w:val="24"/>
          <w:lang w:val="es-VE" w:eastAsia="zh-CN" w:bidi="ar-SA"/>
        </w:rPr>
        <w:t>) durante la polimerización de HbS [15]. Por otro lado, el 2SWEM ha recibido muchas críticas relacionadas con su capacidad reducida para describir la relajación de protones en soluciones de proteínas debido al bajo número de sitios disponibles para la unión de agua a la proteína (</w:t>
      </w:r>
      <w:r>
        <w:rPr/>
      </w:r>
      <m:oMath xmlns:m="http://schemas.openxmlformats.org/officeDocument/2006/math">
        <m:sSub>
          <m:e>
            <m:r>
              <w:rPr>
                <w:rFonts w:ascii="Cambria Math" w:hAnsi="Cambria Math"/>
              </w:rPr>
              <m:t xml:space="preserve">n</m:t>
            </m:r>
          </m:e>
          <m:sub>
            <m:r>
              <m:rPr>
                <m:lit/>
                <m:nor/>
              </m:rPr>
              <w:rPr>
                <w:rFonts w:ascii="Cambria Math" w:hAnsi="Cambria Math"/>
              </w:rPr>
              <m:t xml:space="preserve">ws</m:t>
            </m:r>
          </m:sub>
        </m:sSub>
      </m:oMath>
      <w:r>
        <w:rPr>
          <w:rFonts w:eastAsia="Batang;바탕" w:cs="Times New Roman"/>
          <w:color w:val="auto"/>
          <w:sz w:val="24"/>
          <w:szCs w:val="24"/>
          <w:lang w:val="es-VE" w:eastAsia="zh-CN" w:bidi="ar-SA"/>
        </w:rPr>
        <w:t xml:space="preserve">) obtenida mediante este enfoque; y debido a que este modelo predice una dispersión lorentziana que no se reproduce experimentalmente [15, 19]. Además, el análisis realizado no tiene en cuenta la contribución a la relajación magnética de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xml:space="preserve"> debido a la relajación cruzada ni la contribución de los protones lábiles en la estructura de la proteína que se intercambian con el solvente.</w:t>
      </w:r>
    </w:p>
    <w:p>
      <w:pPr>
        <w:pStyle w:val="Normal"/>
        <w:spacing w:before="0" w:after="200"/>
        <w:ind w:left="0" w:right="0" w:hanging="0"/>
        <w:jc w:val="both"/>
        <w:rPr/>
      </w:pPr>
      <w:r>
        <w:rPr>
          <w:rFonts w:eastAsia="Batang;바탕" w:cs="Times New Roman"/>
          <w:color w:val="auto"/>
          <w:sz w:val="24"/>
          <w:szCs w:val="24"/>
          <w:lang w:val="es-VE" w:eastAsia="zh-CN" w:bidi="ar-SA"/>
        </w:rPr>
        <w:t xml:space="preserve">De acuerdo a lo discutido anteriormente, para explicar los comportamientos de </w:t>
      </w:r>
      <w:r>
        <w:rPr/>
      </w:r>
      <m:oMath xmlns:m="http://schemas.openxmlformats.org/officeDocument/2006/math">
        <m:sSub>
          <m:e>
            <m:r>
              <w:rPr>
                <w:rFonts w:ascii="Cambria Math" w:hAnsi="Cambria Math"/>
              </w:rPr>
              <m:t xml:space="preserve">T</m:t>
            </m:r>
          </m:e>
          <m:sub>
            <m:r>
              <w:rPr>
                <w:rFonts w:ascii="Cambria Math" w:hAnsi="Cambria Math"/>
              </w:rPr>
              <m:t xml:space="preserve">1</m:t>
            </m:r>
          </m:sub>
        </m:sSub>
      </m:oMath>
      <w:r>
        <w:rPr>
          <w:rFonts w:eastAsia="Batang;바탕" w:cs="Times New Roman"/>
          <w:color w:val="auto"/>
          <w:sz w:val="24"/>
          <w:szCs w:val="24"/>
          <w:lang w:val="es-VE" w:eastAsia="zh-CN" w:bidi="ar-SA"/>
        </w:rPr>
        <w:t xml:space="preserve"> y </w:t>
      </w:r>
      <w:r>
        <w:rPr/>
      </w:r>
      <m:oMath xmlns:m="http://schemas.openxmlformats.org/officeDocument/2006/math">
        <m:sSub>
          <m:e>
            <m:r>
              <w:rPr>
                <w:rFonts w:ascii="Cambria Math" w:hAnsi="Cambria Math"/>
              </w:rPr>
              <m:t xml:space="preserve">T</m:t>
            </m:r>
          </m:e>
          <m:sub>
            <m:r>
              <w:rPr>
                <w:rFonts w:ascii="Cambria Math" w:hAnsi="Cambria Math"/>
              </w:rPr>
              <m:t xml:space="preserve">2</m:t>
            </m:r>
          </m:sub>
        </m:sSub>
      </m:oMath>
      <w:r>
        <w:rPr>
          <w:rFonts w:eastAsia="Batang;바탕" w:cs="Times New Roman"/>
          <w:color w:val="auto"/>
          <w:sz w:val="24"/>
          <w:szCs w:val="24"/>
          <w:lang w:val="es-VE" w:eastAsia="zh-CN" w:bidi="ar-SA"/>
        </w:rPr>
        <w:t xml:space="preserve"> durante la polimerización de HbS necesitamos otro método experimental para determinar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Batang;바탕" w:cs="Times New Roman"/>
          <w:color w:val="auto"/>
          <w:sz w:val="24"/>
          <w:szCs w:val="24"/>
          <w:lang w:val="es-VE" w:eastAsia="zh-CN" w:bidi="ar-SA"/>
        </w:rPr>
        <w:t xml:space="preserve"> y, al menos, estimar el comportamiento de </w:t>
      </w:r>
      <w:r>
        <w:rPr/>
      </w:r>
      <m:oMath xmlns:m="http://schemas.openxmlformats.org/officeDocument/2006/math">
        <m:sSub>
          <m:e>
            <m:r>
              <w:rPr>
                <w:rFonts w:ascii="Cambria Math" w:hAnsi="Cambria Math"/>
              </w:rPr>
              <m:t xml:space="preserve">P</m:t>
            </m:r>
          </m:e>
          <m:sub>
            <m:r>
              <w:rPr>
                <w:rFonts w:ascii="Cambria Math" w:hAnsi="Cambria Math"/>
              </w:rPr>
              <m:t xml:space="preserve">b</m:t>
            </m:r>
          </m:sub>
        </m:sSub>
      </m:oMath>
      <w:r>
        <w:rPr>
          <w:rFonts w:eastAsia="Batang;바탕" w:cs="Times New Roman"/>
          <w:color w:val="auto"/>
          <w:sz w:val="24"/>
          <w:szCs w:val="24"/>
          <w:lang w:val="es-VE" w:eastAsia="zh-CN" w:bidi="ar-SA"/>
        </w:rPr>
        <w:t>. También necesitamos otro enfoque físico para describir la relajación, que debe incluir la relajación cruzada y las contribuciones de protones lábiles.</w:t>
      </w:r>
    </w:p>
    <w:p>
      <w:pPr>
        <w:pStyle w:val="Normal"/>
        <w:spacing w:before="0" w:after="200"/>
        <w:ind w:left="0" w:right="0" w:hanging="0"/>
        <w:jc w:val="both"/>
        <w:rPr/>
      </w:pPr>
      <w:r>
        <w:rPr>
          <w:rFonts w:eastAsia="Batang;바탕" w:cs="Times New Roman"/>
          <w:color w:val="auto"/>
          <w:sz w:val="24"/>
          <w:szCs w:val="24"/>
          <w:lang w:val="es-VE" w:eastAsia="zh-CN" w:bidi="ar-SA"/>
        </w:rPr>
        <w:t xml:space="preserve">En este trabajo hemos utilizado el experimento de Dispersión de Relajación Magnética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xml:space="preserv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4"/>
          <w:szCs w:val="24"/>
          <w:lang w:val="es-VE" w:eastAsia="zh-CN" w:bidi="ar-SA"/>
        </w:rPr>
        <w:t xml:space="preserve">) para evaluar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Batang;바탕" w:cs="Times New Roman"/>
          <w:color w:val="auto"/>
          <w:sz w:val="24"/>
          <w:szCs w:val="24"/>
          <w:lang w:val="es-VE" w:eastAsia="zh-CN" w:bidi="ar-SA"/>
        </w:rPr>
        <w:t xml:space="preserve">, y otros parámetros directamente relacionados con </w:t>
      </w:r>
      <w:r>
        <w:rPr/>
      </w:r>
      <m:oMath xmlns:m="http://schemas.openxmlformats.org/officeDocument/2006/math">
        <m:sSub>
          <m:e>
            <m:r>
              <w:rPr>
                <w:rFonts w:ascii="Cambria Math" w:hAnsi="Cambria Math"/>
              </w:rPr>
              <m:t xml:space="preserve">P</m:t>
            </m:r>
          </m:e>
          <m:sub>
            <m:r>
              <w:rPr>
                <w:rFonts w:ascii="Cambria Math" w:hAnsi="Cambria Math"/>
              </w:rPr>
              <m:t xml:space="preserve">b</m:t>
            </m:r>
          </m:sub>
        </m:sSub>
      </m:oMath>
      <w:r>
        <w:rPr>
          <w:rFonts w:eastAsia="Batang;바탕" w:cs="Times New Roman"/>
          <w:color w:val="auto"/>
          <w:sz w:val="24"/>
          <w:szCs w:val="24"/>
          <w:lang w:val="es-VE" w:eastAsia="zh-CN" w:bidi="ar-SA"/>
        </w:rPr>
        <w:t xml:space="preserve">, en muestras de Hb intracelular. Se utilizó un modelo de intercambio de tres sitios (3SEM), que incluye las contribuciones de protones lábiles y la relajación cruzada, como enfoque físico para describir la relajación magnética de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Los resultados obtenidos crean las condiciones para realizar un análisis adecuado durante la polimerización de HbS.</w:t>
      </w:r>
    </w:p>
    <w:p>
      <w:pPr>
        <w:pStyle w:val="Heading1"/>
        <w:numPr>
          <w:ilvl w:val="0"/>
          <w:numId w:val="0"/>
        </w:numPr>
        <w:spacing w:before="0" w:after="200"/>
        <w:ind w:left="0" w:right="0" w:hanging="0"/>
        <w:rPr/>
      </w:pPr>
      <w:r>
        <w:rPr>
          <w:rStyle w:val="Initial12"/>
          <w:b/>
          <w:sz w:val="28"/>
          <w:lang w:val="es-VE"/>
        </w:rPr>
        <w:t>método</w:t>
      </w:r>
    </w:p>
    <w:p>
      <w:pPr>
        <w:pStyle w:val="Normal"/>
        <w:tabs>
          <w:tab w:val="clear" w:pos="340"/>
          <w:tab w:val="clear" w:pos="680"/>
        </w:tabs>
        <w:suppressAutoHyphens w:val="true"/>
        <w:spacing w:before="280" w:after="280"/>
        <w:ind w:left="0" w:right="0" w:hanging="0"/>
        <w:rPr/>
      </w:pPr>
      <w:r>
        <w:rPr>
          <w:rFonts w:eastAsia="Batang;바탕" w:cs="Times New Roman"/>
          <w:color w:val="auto"/>
          <w:sz w:val="24"/>
          <w:szCs w:val="24"/>
          <w:lang w:val="es-VE" w:eastAsia="zh-CN" w:bidi="ar-SA"/>
        </w:rPr>
        <w:t xml:space="preserve">Se obtuvieron muestras de sangre total de donantes voluntarios sanos y pacientes con AHF (muestras residuales del Hospital Universitario ULB de Bruselas obtenidas después de que se terminaron los análisis de sangre de rutina). Las muestras de hemoglobina A (HbA) y HbS se prepararon a partir de sangre total utilizando métodos clásicos [11, 12, 18, 20, 21] y se transfirieron 500 μl de solución de Hb a un tubo de RMN para las mediciones. Se utilizó un relaxómetro de RMN de ciclo rápido de campo (Stelar FFC 2000 Spinmaster), en el rango de 20 kHz a 10 MHz, para obtener los perfiles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4"/>
          <w:szCs w:val="24"/>
          <w:lang w:val="es-VE" w:eastAsia="zh-CN" w:bidi="ar-SA"/>
        </w:rPr>
        <w:t xml:space="preserve"> a 310 K, que se representaron como gráficos semilogarítmicos de R1 (</w:t>
      </w:r>
      <w:r>
        <w:rPr/>
      </w:r>
      <m:oMath xmlns:m="http://schemas.openxmlformats.org/officeDocument/2006/math">
        <m:f>
          <m:num>
            <m:r>
              <w:rPr>
                <w:rFonts w:ascii="Cambria Math" w:hAnsi="Cambria Math"/>
              </w:rPr>
              <m:t xml:space="preserve">1</m:t>
            </m:r>
          </m:num>
          <m:den>
            <m:sSub>
              <m:e>
                <m:r>
                  <w:rPr>
                    <w:rFonts w:ascii="Cambria Math" w:hAnsi="Cambria Math"/>
                  </w:rPr>
                  <m:t xml:space="preserve">T</m:t>
                </m:r>
              </m:e>
              <m:sub>
                <m:r>
                  <w:rPr>
                    <w:rFonts w:ascii="Cambria Math" w:hAnsi="Cambria Math"/>
                  </w:rPr>
                  <m:t xml:space="preserve">1</m:t>
                </m:r>
              </m:sub>
            </m:sSub>
          </m:den>
        </m:f>
      </m:oMath>
      <w:r>
        <w:rPr>
          <w:rFonts w:eastAsia="Batang;바탕" w:cs="Times New Roman"/>
          <w:color w:val="auto"/>
          <w:sz w:val="24"/>
          <w:szCs w:val="24"/>
          <w:lang w:val="es-VE" w:eastAsia="zh-CN" w:bidi="ar-SA"/>
        </w:rPr>
        <w:t xml:space="preserve">) contra la frecuencia </w:t>
      </w:r>
      <w:r>
        <w:rPr>
          <w:rFonts w:eastAsia="Batang;바탕" w:cs="Times New Roman"/>
          <w:color w:val="auto"/>
          <w:sz w:val="24"/>
          <w:szCs w:val="24"/>
          <w:u w:val="none"/>
          <w:lang w:val="es-VE" w:eastAsia="zh-CN" w:bidi="ar-SA"/>
        </w:rPr>
        <w:t>de resonancia</w:t>
      </w:r>
      <w:r>
        <w:rPr>
          <w:rFonts w:eastAsia="Batang;바탕" w:cs="Times New Roman"/>
          <w:color w:val="auto"/>
          <w:sz w:val="24"/>
          <w:szCs w:val="24"/>
          <w:lang w:val="es-VE" w:eastAsia="zh-CN" w:bidi="ar-SA"/>
        </w:rPr>
        <w:t xml:space="preserve"> de Larmour (</w:t>
      </w:r>
      <w:r>
        <w:rPr/>
      </w:r>
      <m:oMath xmlns:m="http://schemas.openxmlformats.org/officeDocument/2006/math">
        <m:sSub>
          <m:e>
            <m:r>
              <w:rPr>
                <w:rFonts w:ascii="Cambria Math" w:hAnsi="Cambria Math"/>
              </w:rPr>
              <m:t xml:space="preserve">ω</m:t>
            </m:r>
          </m:e>
          <m:sub>
            <m:r>
              <w:rPr>
                <w:rFonts w:ascii="Cambria Math" w:hAnsi="Cambria Math"/>
              </w:rPr>
              <m:t xml:space="preserve">0</m:t>
            </m:r>
          </m:sub>
        </m:sSub>
      </m:oMath>
      <w:r>
        <w:rPr>
          <w:rFonts w:eastAsia="Batang;바탕" w:cs="Times New Roman"/>
          <w:color w:val="auto"/>
          <w:sz w:val="24"/>
          <w:szCs w:val="24"/>
          <w:lang w:val="es-VE" w:eastAsia="zh-CN" w:bidi="ar-SA"/>
        </w:rPr>
        <w:t xml:space="preserve">) dividida por 2π. Se agregaron puntos adicionales a 20 MHz y 60 MHz después de medir las muestras en los analizadores Mq20 y Mq60 NMR (Minispec) de Bruker. Para cada muestra se midieron al menos cinco perfiles 1HMRD y los valores de los parámetros obtenidos se informaron como: </w:t>
      </w:r>
      <w:r>
        <w:rPr/>
      </w:r>
      <m:oMath xmlns:m="http://schemas.openxmlformats.org/officeDocument/2006/math">
        <m:bar>
          <m:barPr>
            <m:pos m:val="top"/>
          </m:barPr>
          <m:e>
            <m:r>
              <w:rPr>
                <w:rFonts w:ascii="Cambria Math" w:hAnsi="Cambria Math"/>
              </w:rPr>
              <m:t xml:space="preserve">u</m:t>
            </m:r>
          </m:e>
        </m:bar>
        <m:r>
          <w:rPr>
            <w:rFonts w:ascii="Cambria Math" w:hAnsi="Cambria Math"/>
          </w:rPr>
          <m:t xml:space="preserve">±</m:t>
        </m:r>
        <m:r>
          <m:rPr>
            <m:lit/>
            <m:nor/>
          </m:rPr>
          <w:rPr>
            <w:rFonts w:ascii="Cambria Math" w:hAnsi="Cambria Math"/>
          </w:rPr>
          <m:t xml:space="preserve">SD</m:t>
        </m:r>
      </m:oMath>
      <w:r>
        <w:rPr>
          <w:rFonts w:eastAsia="Batang;바탕" w:cs="Times New Roman"/>
          <w:color w:val="auto"/>
          <w:sz w:val="24"/>
          <w:szCs w:val="24"/>
          <w:lang w:val="es-VE" w:eastAsia="zh-CN" w:bidi="ar-SA"/>
        </w:rPr>
        <w:t>. Aquí ū y SD representan el valor medio y la desviación estándar de las mediciones realizadas.</w:t>
      </w:r>
    </w:p>
    <w:p>
      <w:pPr>
        <w:pStyle w:val="Heading1"/>
        <w:numPr>
          <w:ilvl w:val="0"/>
          <w:numId w:val="0"/>
        </w:numPr>
        <w:spacing w:before="0" w:after="200"/>
        <w:ind w:left="0" w:right="0" w:hanging="0"/>
        <w:rPr/>
      </w:pPr>
      <w:r>
        <w:rPr>
          <w:rStyle w:val="AbsatzNormal"/>
          <w:b/>
          <w:sz w:val="28"/>
          <w:szCs w:val="24"/>
          <w:lang w:val="es-ES"/>
        </w:rPr>
        <w:t>Resultados</w:t>
      </w:r>
    </w:p>
    <w:p>
      <w:pPr>
        <w:pStyle w:val="Normal"/>
        <w:suppressAutoHyphens w:val="true"/>
        <w:ind w:left="0" w:right="0" w:hanging="0"/>
        <w:rPr/>
      </w:pPr>
      <w:r>
        <w:rPr>
          <w:rFonts w:eastAsia="Batang;바탕" w:cs="Times New Roman"/>
          <w:color w:val="auto"/>
          <w:sz w:val="24"/>
          <w:szCs w:val="24"/>
          <w:lang w:val="es-VE" w:eastAsia="zh-CN" w:bidi="ar-SA"/>
        </w:rPr>
        <w:t xml:space="preserve">La figura 1 muestra el perfil característico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4"/>
          <w:szCs w:val="24"/>
          <w:lang w:val="es-VE" w:eastAsia="zh-CN" w:bidi="ar-SA"/>
        </w:rPr>
        <w:t xml:space="preserve"> obtenido para soluciones intracelulares de hemoglobina  a 310K. Los resultados experimentales han sido ajustados mediante las ecuaciones  (1) y (2) de acuerdo a los modelos   2SWEM y 3SEM respectivamente:</w:t>
      </w:r>
    </w:p>
    <w:p>
      <w:pPr>
        <w:pStyle w:val="Normal"/>
        <w:suppressAutoHyphens w:val="true"/>
        <w:ind w:left="0" w:right="0" w:hanging="0"/>
        <w:jc w:val="left"/>
        <w:rPr>
          <w:rFonts w:eastAsia="Batang;바탕" w:cs="Times New Roman"/>
          <w:color w:val="auto"/>
          <w:sz w:val="24"/>
          <w:szCs w:val="24"/>
          <w:lang w:val="es-VE" w:eastAsia="zh-CN" w:bidi="ar-SA"/>
        </w:rPr>
      </w:pPr>
      <w:r>
        <w:rPr/>
      </w:r>
      <m:oMathPara xmlns:m="http://schemas.openxmlformats.org/officeDocument/2006/math">
        <m:oMathParaPr>
          <m:jc m:val="left"/>
        </m:oMathParaPr>
        <m:oMath>
          <m:eqArr>
            <m:e>
              <m:sSub>
                <m:e>
                  <m:r>
                    <w:rPr>
                      <w:rFonts w:ascii="Cambria Math" w:hAnsi="Cambria Math"/>
                    </w:rPr>
                    <m:t xml:space="preserve">R</m:t>
                  </m:r>
                </m:e>
                <m:sub>
                  <m:r>
                    <w:rPr>
                      <w:rFonts w:ascii="Cambria Math" w:hAnsi="Cambria Math"/>
                    </w:rPr>
                    <m:t xml:space="preserve">1</m:t>
                  </m:r>
                </m:sub>
              </m:sSub>
              <m:d>
                <m:dPr>
                  <m:begChr m:val="("/>
                  <m:endChr m:val=")"/>
                </m:dPr>
                <m:e>
                  <m:sSub>
                    <m:e>
                      <m:r>
                        <w:rPr>
                          <w:rFonts w:ascii="Cambria Math" w:hAnsi="Cambria Math"/>
                        </w:rPr>
                        <m:t xml:space="preserve">ω</m:t>
                      </m:r>
                    </m:e>
                    <m:sub>
                      <m:r>
                        <w:rPr>
                          <w:rFonts w:ascii="Cambria Math" w:hAnsi="Cambria Math"/>
                        </w:rPr>
                        <m:t xml:space="preserve">0</m:t>
                      </m:r>
                    </m:sub>
                  </m:sSub>
                </m:e>
              </m:d>
              <m:sSubSup>
                <m:e>
                  <m:r>
                    <m:rPr>
                      <m:lit/>
                      <m:nor/>
                    </m:rPr>
                    <w:rPr>
                      <w:rFonts w:ascii="Cambria Math" w:hAnsi="Cambria Math"/>
                    </w:rPr>
                    <m:t xml:space="preserve">=R</m:t>
                  </m:r>
                </m:e>
                <m:sub>
                  <m:r>
                    <m:rPr>
                      <m:lit/>
                      <m:nor/>
                    </m:rPr>
                    <w:rPr>
                      <w:rFonts w:ascii="Cambria Math" w:hAnsi="Cambria Math"/>
                    </w:rPr>
                    <m:t xml:space="preserve">1w</m:t>
                  </m:r>
                </m:sub>
                <m:sup>
                  <m:r>
                    <m:rPr>
                      <m:lit/>
                      <m:nor/>
                    </m:rPr>
                    <w:rPr>
                      <w:rFonts w:ascii="Cambria Math" w:hAnsi="Cambria Math"/>
                    </w:rPr>
                    <m:t xml:space="preserve">bulk</m:t>
                  </m:r>
                </m:sup>
              </m:sSubSup>
              <m:sSub>
                <m:e>
                  <m:r>
                    <m:rPr>
                      <m:lit/>
                      <m:nor/>
                    </m:rPr>
                    <w:rPr>
                      <w:rFonts w:ascii="Cambria Math" w:hAnsi="Cambria Math"/>
                    </w:rPr>
                    <m:t xml:space="preserve">+P</m:t>
                  </m:r>
                </m:e>
                <m:sub>
                  <m:r>
                    <w:rPr>
                      <w:rFonts w:ascii="Cambria Math" w:hAnsi="Cambria Math"/>
                    </w:rPr>
                    <m:t xml:space="preserve">b</m:t>
                  </m:r>
                </m:sub>
              </m:sSub>
              <m:f>
                <m:num>
                  <m:r>
                    <w:rPr>
                      <w:rFonts w:ascii="Cambria Math" w:hAnsi="Cambria Math"/>
                    </w:rPr>
                    <m:t xml:space="preserve">3</m:t>
                  </m:r>
                </m:num>
                <m:den>
                  <m:r>
                    <w:rPr>
                      <w:rFonts w:ascii="Cambria Math" w:hAnsi="Cambria Math"/>
                    </w:rPr>
                    <m:t xml:space="preserve">2</m:t>
                  </m:r>
                </m:den>
              </m:f>
              <m:sSup>
                <m:e>
                  <m:d>
                    <m:dPr>
                      <m:begChr m:val="("/>
                      <m:endChr m:val=")"/>
                    </m:dPr>
                    <m:e>
                      <m:f>
                        <m:num>
                          <m:sSub>
                            <m:e>
                              <m:r>
                                <w:rPr>
                                  <w:rFonts w:ascii="Cambria Math" w:hAnsi="Cambria Math"/>
                                </w:rPr>
                                <m:t xml:space="preserve">μ</m:t>
                              </m:r>
                            </m:e>
                            <m:sub>
                              <m:r>
                                <w:rPr>
                                  <w:rFonts w:ascii="Cambria Math" w:hAnsi="Cambria Math"/>
                                </w:rPr>
                                <m:t xml:space="preserve">0</m:t>
                              </m:r>
                            </m:sub>
                          </m:sSub>
                        </m:num>
                        <m:den>
                          <m:r>
                            <w:rPr>
                              <w:rFonts w:ascii="Cambria Math" w:hAnsi="Cambria Math"/>
                            </w:rPr>
                            <m:t xml:space="preserve">4</m:t>
                          </m:r>
                          <m:r>
                            <w:rPr>
                              <w:rFonts w:ascii="Cambria Math" w:hAnsi="Cambria Math"/>
                            </w:rPr>
                            <m:t xml:space="preserve">π</m:t>
                          </m:r>
                        </m:den>
                      </m:f>
                    </m:e>
                  </m:d>
                </m:e>
                <m:sup>
                  <m:r>
                    <w:rPr>
                      <w:rFonts w:ascii="Cambria Math" w:hAnsi="Cambria Math"/>
                    </w:rPr>
                    <m:t xml:space="preserve">2</m:t>
                  </m:r>
                </m:sup>
              </m:sSup>
              <m:f>
                <m:num>
                  <m:sSup>
                    <m:e>
                      <m:r>
                        <w:rPr>
                          <w:rFonts w:ascii="Cambria Math" w:hAnsi="Cambria Math"/>
                        </w:rPr>
                        <m:t xml:space="preserve">γ</m:t>
                      </m:r>
                    </m:e>
                    <m:sup>
                      <m:r>
                        <w:rPr>
                          <w:rFonts w:ascii="Cambria Math" w:hAnsi="Cambria Math"/>
                        </w:rPr>
                        <m:t xml:space="preserve">4</m:t>
                      </m:r>
                    </m:sup>
                  </m:sSup>
                  <m:sSup>
                    <m:e>
                      <m:r>
                        <w:rPr>
                          <w:rFonts w:ascii="Cambria Math" w:hAnsi="Cambria Math"/>
                        </w:rPr>
                        <m:t xml:space="preserve">ℏ</m:t>
                      </m:r>
                    </m:e>
                    <m:sup>
                      <m:r>
                        <w:rPr>
                          <w:rFonts w:ascii="Cambria Math" w:hAnsi="Cambria Math"/>
                        </w:rPr>
                        <m:t xml:space="preserve">2</m:t>
                      </m:r>
                    </m:sup>
                  </m:sSup>
                </m:num>
                <m:den>
                  <m:sSup>
                    <m:e>
                      <m:r>
                        <w:rPr>
                          <w:rFonts w:ascii="Cambria Math" w:hAnsi="Cambria Math"/>
                        </w:rPr>
                        <m:t xml:space="preserve">r</m:t>
                      </m:r>
                    </m:e>
                    <m:sup>
                      <m:r>
                        <w:rPr>
                          <w:rFonts w:ascii="Cambria Math" w:hAnsi="Cambria Math"/>
                        </w:rPr>
                        <m:t xml:space="preserve">6</m:t>
                      </m:r>
                    </m:sup>
                  </m:sSup>
                </m:den>
              </m:f>
              <m:sSub>
                <m:e>
                  <m:r>
                    <w:rPr>
                      <w:rFonts w:ascii="Cambria Math" w:hAnsi="Cambria Math"/>
                    </w:rPr>
                    <m:t xml:space="preserve">τ</m:t>
                  </m:r>
                </m:e>
                <m:sub>
                  <m:r>
                    <w:rPr>
                      <w:rFonts w:ascii="Cambria Math" w:hAnsi="Cambria Math"/>
                    </w:rPr>
                    <m:t xml:space="preserve">R</m:t>
                  </m:r>
                </m:sub>
              </m:sSub>
              <m:d>
                <m:dPr>
                  <m:begChr m:val="["/>
                  <m:endChr m:val="]"/>
                </m:dPr>
                <m:e>
                  <m:f>
                    <m:num>
                      <m:r>
                        <w:rPr>
                          <w:rFonts w:ascii="Cambria Math" w:hAnsi="Cambria Math"/>
                        </w:rPr>
                        <m:t xml:space="preserve">0</m:t>
                      </m:r>
                      <m:r>
                        <m:rPr>
                          <m:lit/>
                          <m:nor/>
                        </m:rPr>
                        <w:rPr>
                          <w:rFonts w:ascii="Cambria Math" w:hAnsi="Cambria Math"/>
                        </w:rPr>
                        <m:t xml:space="preserve">.</m:t>
                      </m:r>
                      <m:r>
                        <w:rPr>
                          <w:rFonts w:ascii="Cambria Math" w:hAnsi="Cambria Math"/>
                        </w:rPr>
                        <m:t xml:space="preserve">2</m:t>
                      </m:r>
                    </m:num>
                    <m:den>
                      <m:r>
                        <w:rPr>
                          <w:rFonts w:ascii="Cambria Math" w:hAnsi="Cambria Math"/>
                        </w:rPr>
                        <m:t xml:space="preserve">1</m:t>
                      </m:r>
                      <m:sSubSup>
                        <m:e>
                          <m:r>
                            <m:rPr>
                              <m:lit/>
                              <m:nor/>
                            </m:rP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R</m:t>
                          </m:r>
                        </m:sub>
                        <m:sup>
                          <m:r>
                            <w:rPr>
                              <w:rFonts w:ascii="Cambria Math" w:hAnsi="Cambria Math"/>
                            </w:rPr>
                            <m:t xml:space="preserve">2</m:t>
                          </m:r>
                        </m:sup>
                      </m:sSubSup>
                    </m:den>
                  </m:f>
                  <m:r>
                    <w:rPr>
                      <w:rFonts w:ascii="Cambria Math" w:hAnsi="Cambria Math"/>
                    </w:rPr>
                    <m:t xml:space="preserve">+</m:t>
                  </m:r>
                  <m:f>
                    <m:num>
                      <m:r>
                        <w:rPr>
                          <w:rFonts w:ascii="Cambria Math" w:hAnsi="Cambria Math"/>
                        </w:rPr>
                        <m:t xml:space="preserve">0</m:t>
                      </m:r>
                      <m:r>
                        <m:rPr>
                          <m:lit/>
                          <m:nor/>
                        </m:rPr>
                        <w:rPr>
                          <w:rFonts w:ascii="Cambria Math" w:hAnsi="Cambria Math"/>
                        </w:rPr>
                        <m:t xml:space="preserve">.</m:t>
                      </m:r>
                      <m:r>
                        <w:rPr>
                          <w:rFonts w:ascii="Cambria Math" w:hAnsi="Cambria Math"/>
                        </w:rPr>
                        <m:t xml:space="preserve">8</m:t>
                      </m:r>
                    </m:num>
                    <m:den>
                      <m:r>
                        <w:rPr>
                          <w:rFonts w:ascii="Cambria Math" w:hAnsi="Cambria Math"/>
                        </w:rPr>
                        <m:t xml:space="preserve">1</m:t>
                      </m:r>
                      <m:r>
                        <w:rPr>
                          <w:rFonts w:ascii="Cambria Math" w:hAnsi="Cambria Math"/>
                        </w:rPr>
                        <m:t xml:space="preserve">+</m:t>
                      </m:r>
                      <m:r>
                        <w:rPr>
                          <w:rFonts w:ascii="Cambria Math" w:hAnsi="Cambria Math"/>
                        </w:rPr>
                        <m:t xml:space="preserve">4</m:t>
                      </m:r>
                      <m:sSubSup>
                        <m:e>
                          <m: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R</m:t>
                          </m:r>
                        </m:sub>
                        <m:sup>
                          <m:r>
                            <w:rPr>
                              <w:rFonts w:ascii="Cambria Math" w:hAnsi="Cambria Math"/>
                            </w:rPr>
                            <m:t xml:space="preserve">2</m:t>
                          </m:r>
                        </m:sup>
                      </m:sSubSup>
                    </m:den>
                  </m:f>
                </m:e>
              </m:d>
              <m:d>
                <m:dPr>
                  <m:begChr m:val="("/>
                  <m:endChr m:val=")"/>
                </m:dPr>
                <m:e>
                  <m:r>
                    <w:rPr>
                      <w:rFonts w:ascii="Cambria Math" w:hAnsi="Cambria Math"/>
                    </w:rPr>
                    <m:t xml:space="preserve">1</m:t>
                  </m:r>
                </m:e>
              </m:d>
            </m:e>
            <m:e>
              <m:sSub>
                <m:e>
                  <m:r>
                    <w:rPr>
                      <w:rFonts w:ascii="Cambria Math" w:hAnsi="Cambria Math"/>
                    </w:rPr>
                    <m:t xml:space="preserve">R</m:t>
                  </m:r>
                </m:e>
                <m:sub>
                  <m:r>
                    <w:rPr>
                      <w:rFonts w:ascii="Cambria Math" w:hAnsi="Cambria Math"/>
                    </w:rPr>
                    <m:t xml:space="preserve">1</m:t>
                  </m:r>
                </m:sub>
              </m:sSub>
              <m:d>
                <m:dPr>
                  <m:begChr m:val="("/>
                  <m:endChr m:val=")"/>
                </m:dPr>
                <m:e>
                  <m:sSub>
                    <m:e>
                      <m:r>
                        <w:rPr>
                          <w:rFonts w:ascii="Cambria Math" w:hAnsi="Cambria Math"/>
                        </w:rPr>
                        <m:t xml:space="preserve">ω</m:t>
                      </m:r>
                    </m:e>
                    <m:sub>
                      <m:r>
                        <w:rPr>
                          <w:rFonts w:ascii="Cambria Math" w:hAnsi="Cambria Math"/>
                        </w:rPr>
                        <m:t xml:space="preserve">0</m:t>
                      </m:r>
                    </m:sub>
                  </m:sSub>
                </m:e>
              </m:d>
              <m:sSubSup>
                <m:e>
                  <m:r>
                    <m:rPr>
                      <m:lit/>
                      <m:nor/>
                    </m:rPr>
                    <w:rPr>
                      <w:rFonts w:ascii="Cambria Math" w:hAnsi="Cambria Math"/>
                    </w:rPr>
                    <m:t xml:space="preserve">=R</m:t>
                  </m:r>
                </m:e>
                <m:sub>
                  <m:r>
                    <m:rPr>
                      <m:lit/>
                      <m:nor/>
                    </m:rPr>
                    <w:rPr>
                      <w:rFonts w:ascii="Cambria Math" w:hAnsi="Cambria Math"/>
                    </w:rPr>
                    <m:t xml:space="preserve">1w</m:t>
                  </m:r>
                </m:sub>
                <m:sup>
                  <m:r>
                    <m:rPr>
                      <m:lit/>
                      <m:nor/>
                    </m:rPr>
                    <w:rPr>
                      <w:rFonts w:ascii="Cambria Math" w:hAnsi="Cambria Math"/>
                    </w:rPr>
                    <m:t xml:space="preserve">bulk</m:t>
                  </m:r>
                </m:sup>
              </m:sSubSup>
              <m:sSub>
                <m:e>
                  <m:r>
                    <m:rPr>
                      <m:lit/>
                      <m:nor/>
                    </m:rPr>
                    <w:rPr>
                      <w:rFonts w:ascii="Cambria Math" w:hAnsi="Cambria Math"/>
                    </w:rPr>
                    <m:t xml:space="preserve">+α+βτ</m:t>
                  </m:r>
                </m:e>
                <m:sub>
                  <m:r>
                    <w:rPr>
                      <w:rFonts w:ascii="Cambria Math" w:hAnsi="Cambria Math"/>
                    </w:rPr>
                    <m:t xml:space="preserve">R</m:t>
                  </m:r>
                </m:sub>
              </m:sSub>
              <m:d>
                <m:dPr>
                  <m:begChr m:val="["/>
                  <m:endChr m:val="]"/>
                </m:dPr>
                <m:e>
                  <m:f>
                    <m:num>
                      <m:r>
                        <w:rPr>
                          <w:rFonts w:ascii="Cambria Math" w:hAnsi="Cambria Math"/>
                        </w:rPr>
                        <m:t xml:space="preserve">0</m:t>
                      </m:r>
                      <m:r>
                        <m:rPr>
                          <m:lit/>
                          <m:nor/>
                        </m:rPr>
                        <w:rPr>
                          <w:rFonts w:ascii="Cambria Math" w:hAnsi="Cambria Math"/>
                        </w:rPr>
                        <m:t xml:space="preserve">.</m:t>
                      </m:r>
                      <m:r>
                        <w:rPr>
                          <w:rFonts w:ascii="Cambria Math" w:hAnsi="Cambria Math"/>
                        </w:rPr>
                        <m:t xml:space="preserve">2</m:t>
                      </m:r>
                    </m:num>
                    <m:den>
                      <m:r>
                        <w:rPr>
                          <w:rFonts w:ascii="Cambria Math" w:hAnsi="Cambria Math"/>
                        </w:rPr>
                        <m:t xml:space="preserve">1</m:t>
                      </m:r>
                      <m:sSubSup>
                        <m:e>
                          <m:r>
                            <m:rPr>
                              <m:lit/>
                              <m:nor/>
                            </m:rP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R</m:t>
                          </m:r>
                        </m:sub>
                        <m:sup>
                          <m:r>
                            <w:rPr>
                              <w:rFonts w:ascii="Cambria Math" w:hAnsi="Cambria Math"/>
                            </w:rPr>
                            <m:t xml:space="preserve">2</m:t>
                          </m:r>
                        </m:sup>
                      </m:sSubSup>
                    </m:den>
                  </m:f>
                  <m:r>
                    <w:rPr>
                      <w:rFonts w:ascii="Cambria Math" w:hAnsi="Cambria Math"/>
                    </w:rPr>
                    <m:t xml:space="preserve">+</m:t>
                  </m:r>
                  <m:f>
                    <m:num>
                      <m:r>
                        <w:rPr>
                          <w:rFonts w:ascii="Cambria Math" w:hAnsi="Cambria Math"/>
                        </w:rPr>
                        <m:t xml:space="preserve">0</m:t>
                      </m:r>
                      <m:r>
                        <m:rPr>
                          <m:lit/>
                          <m:nor/>
                        </m:rPr>
                        <w:rPr>
                          <w:rFonts w:ascii="Cambria Math" w:hAnsi="Cambria Math"/>
                        </w:rPr>
                        <m:t xml:space="preserve">.</m:t>
                      </m:r>
                      <m:r>
                        <w:rPr>
                          <w:rFonts w:ascii="Cambria Math" w:hAnsi="Cambria Math"/>
                        </w:rPr>
                        <m:t xml:space="preserve">8</m:t>
                      </m:r>
                    </m:num>
                    <m:den>
                      <m:r>
                        <w:rPr>
                          <w:rFonts w:ascii="Cambria Math" w:hAnsi="Cambria Math"/>
                        </w:rPr>
                        <m:t xml:space="preserve">1</m:t>
                      </m:r>
                      <m:r>
                        <w:rPr>
                          <w:rFonts w:ascii="Cambria Math" w:hAnsi="Cambria Math"/>
                        </w:rPr>
                        <m:t xml:space="preserve">+</m:t>
                      </m:r>
                      <m:r>
                        <w:rPr>
                          <w:rFonts w:ascii="Cambria Math" w:hAnsi="Cambria Math"/>
                        </w:rPr>
                        <m:t xml:space="preserve">4</m:t>
                      </m:r>
                      <m:sSubSup>
                        <m:e>
                          <m: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R</m:t>
                          </m:r>
                        </m:sub>
                        <m:sup>
                          <m:r>
                            <w:rPr>
                              <w:rFonts w:ascii="Cambria Math" w:hAnsi="Cambria Math"/>
                            </w:rPr>
                            <m:t xml:space="preserve">2</m:t>
                          </m:r>
                        </m:sup>
                      </m:sSubSup>
                    </m:den>
                  </m:f>
                </m:e>
              </m:d>
              <m:d>
                <m:dPr>
                  <m:begChr m:val="("/>
                  <m:endChr m:val=")"/>
                </m:dPr>
                <m:e>
                  <m:r>
                    <w:rPr>
                      <w:rFonts w:ascii="Cambria Math" w:hAnsi="Cambria Math"/>
                    </w:rPr>
                    <m:t xml:space="preserve">2</m:t>
                  </m:r>
                </m:e>
              </m:d>
            </m:e>
          </m:eqArr>
        </m:oMath>
      </m:oMathPara>
    </w:p>
    <w:p>
      <w:pPr>
        <w:pStyle w:val="Normal"/>
        <w:suppressAutoHyphens w:val="true"/>
        <w:ind w:left="0" w:right="0" w:hanging="0"/>
        <w:rPr/>
      </w:pPr>
      <w:r>
        <w:rPr>
          <w:rFonts w:eastAsia="Batang;바탕" w:cs="Times New Roman"/>
          <w:color w:val="auto"/>
          <w:sz w:val="24"/>
          <w:szCs w:val="24"/>
          <w:lang w:val="es-VE" w:eastAsia="zh-CN" w:bidi="ar-SA"/>
        </w:rPr>
        <w:t xml:space="preserve">Aquí </w:t>
      </w:r>
      <w:r>
        <w:rPr/>
      </w:r>
      <m:oMath xmlns:m="http://schemas.openxmlformats.org/officeDocument/2006/math">
        <m:sSubSup>
          <m:e>
            <m:r>
              <w:rPr>
                <w:rFonts w:ascii="Cambria Math" w:hAnsi="Cambria Math"/>
              </w:rPr>
              <m:t xml:space="preserve">R</m:t>
            </m:r>
          </m:e>
          <m:sub>
            <m:r>
              <m:rPr>
                <m:lit/>
                <m:nor/>
              </m:rPr>
              <w:rPr>
                <w:rFonts w:ascii="Cambria Math" w:hAnsi="Cambria Math"/>
              </w:rPr>
              <m:t xml:space="preserve">1w</m:t>
            </m:r>
          </m:sub>
          <m:sup>
            <m:r>
              <m:rPr>
                <m:lit/>
                <m:nor/>
              </m:rPr>
              <w:rPr>
                <w:rFonts w:ascii="Cambria Math" w:hAnsi="Cambria Math"/>
              </w:rPr>
              <m:t xml:space="preserve">bulk</m:t>
            </m:r>
          </m:sup>
        </m:sSubSup>
      </m:oMath>
      <w:r>
        <w:rPr>
          <w:rFonts w:eastAsia="Batang;바탕" w:cs="Times New Roman"/>
          <w:color w:val="auto"/>
          <w:sz w:val="24"/>
          <w:szCs w:val="24"/>
          <w:lang w:val="es-VE" w:eastAsia="zh-CN" w:bidi="ar-SA"/>
        </w:rPr>
        <w:t xml:space="preserve"> es la tasa de relajación magnética longitudinal del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xml:space="preserve"> en el solvente, </w:t>
      </w:r>
      <w:r>
        <w:rPr/>
      </w:r>
      <m:oMath xmlns:m="http://schemas.openxmlformats.org/officeDocument/2006/math">
        <m:r>
          <w:rPr>
            <w:rFonts w:ascii="Cambria Math" w:hAnsi="Cambria Math"/>
          </w:rPr>
          <m:t xml:space="preserve">γ</m:t>
        </m:r>
      </m:oMath>
      <w:r>
        <w:rPr>
          <w:rFonts w:eastAsia="Batang;바탕" w:cs="Times New Roman"/>
          <w:color w:val="auto"/>
          <w:sz w:val="24"/>
          <w:szCs w:val="24"/>
          <w:lang w:val="es-VE" w:eastAsia="zh-CN" w:bidi="ar-SA"/>
        </w:rPr>
        <w:t xml:space="preserve">  es la relación giromagnética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Batang;바탕" w:cs="Times New Roman"/>
          <w:color w:val="auto"/>
          <w:sz w:val="24"/>
          <w:szCs w:val="24"/>
          <w:lang w:val="es-VE" w:eastAsia="zh-CN" w:bidi="ar-SA"/>
        </w:rPr>
        <w:t xml:space="preserve">, </w:t>
      </w:r>
      <w:r>
        <w:rPr/>
      </w:r>
      <m:oMath xmlns:m="http://schemas.openxmlformats.org/officeDocument/2006/math">
        <m:r>
          <w:rPr>
            <w:rFonts w:ascii="Cambria Math" w:hAnsi="Cambria Math"/>
          </w:rPr>
          <m:t xml:space="preserve">ℏ</m:t>
        </m:r>
      </m:oMath>
      <w:r>
        <w:rPr>
          <w:rFonts w:eastAsia="Batang;바탕" w:cs="Times New Roman"/>
          <w:color w:val="auto"/>
          <w:sz w:val="24"/>
          <w:szCs w:val="24"/>
          <w:lang w:val="es-VE" w:eastAsia="zh-CN" w:bidi="ar-SA"/>
        </w:rPr>
        <w:t xml:space="preserve"> es la constante de Dirac, </w:t>
      </w:r>
      <w:r>
        <w:rPr/>
      </w:r>
      <m:oMath xmlns:m="http://schemas.openxmlformats.org/officeDocument/2006/math">
        <m:sSub>
          <m:e>
            <m:r>
              <w:rPr>
                <w:rFonts w:ascii="Cambria Math" w:hAnsi="Cambria Math"/>
              </w:rPr>
              <m:t xml:space="preserve">μ</m:t>
            </m:r>
          </m:e>
          <m:sub>
            <m:r>
              <w:rPr>
                <w:rFonts w:ascii="Cambria Math" w:hAnsi="Cambria Math"/>
              </w:rPr>
              <m:t xml:space="preserve">0</m:t>
            </m:r>
          </m:sub>
        </m:sSub>
      </m:oMath>
      <w:r>
        <w:rPr>
          <w:rFonts w:eastAsia="Batang;바탕" w:cs="Times New Roman"/>
          <w:color w:val="auto"/>
          <w:sz w:val="24"/>
          <w:szCs w:val="24"/>
          <w:lang w:val="es-VE" w:eastAsia="zh-CN" w:bidi="ar-SA"/>
        </w:rPr>
        <w:t xml:space="preserve"> es la permeabilidad magnética del vacío y </w:t>
      </w:r>
      <w:r>
        <w:rPr/>
      </w:r>
      <m:oMath xmlns:m="http://schemas.openxmlformats.org/officeDocument/2006/math">
        <m:r>
          <w:rPr>
            <w:rFonts w:ascii="Cambria Math" w:hAnsi="Cambria Math"/>
          </w:rPr>
          <m:t xml:space="preserve">r</m:t>
        </m:r>
      </m:oMath>
      <w:r>
        <w:rPr>
          <w:rFonts w:eastAsia="Batang;바탕" w:cs="Times New Roman"/>
          <w:color w:val="auto"/>
          <w:sz w:val="24"/>
          <w:szCs w:val="24"/>
          <w:lang w:val="es-VE" w:eastAsia="zh-CN" w:bidi="ar-SA"/>
        </w:rPr>
        <w:t xml:space="preserve"> es la distancia entre protones. En la ecuación. (2) </w:t>
      </w:r>
      <w:r>
        <w:rPr/>
      </w:r>
      <m:oMath xmlns:m="http://schemas.openxmlformats.org/officeDocument/2006/math">
        <m:r>
          <w:rPr>
            <w:rFonts w:ascii="Cambria Math" w:hAnsi="Cambria Math"/>
          </w:rPr>
          <m:t xml:space="preserve">α</m:t>
        </m:r>
      </m:oMath>
      <w:r>
        <w:rPr>
          <w:rFonts w:eastAsia="Batang;바탕" w:cs="Times New Roman"/>
          <w:color w:val="auto"/>
          <w:sz w:val="24"/>
          <w:szCs w:val="24"/>
          <w:lang w:val="es-VE" w:eastAsia="zh-CN" w:bidi="ar-SA"/>
        </w:rPr>
        <w:t xml:space="preserve"> (caracteriza la zona de meseta de la tasa de relajación de alta frecuencia) se atribuye a las moléculas de agua hidratadas en la superficie de la proteína y </w:t>
      </w:r>
      <w:r>
        <w:rPr/>
      </w:r>
      <m:oMath xmlns:m="http://schemas.openxmlformats.org/officeDocument/2006/math">
        <m:r>
          <w:rPr>
            <w:rFonts w:ascii="Cambria Math" w:hAnsi="Cambria Math"/>
          </w:rPr>
          <m:t xml:space="preserve">β</m:t>
        </m:r>
      </m:oMath>
      <w:r>
        <w:rPr>
          <w:rFonts w:eastAsia="Batang;바탕" w:cs="Times New Roman"/>
          <w:color w:val="auto"/>
          <w:sz w:val="24"/>
          <w:szCs w:val="24"/>
          <w:lang w:val="es-VE" w:eastAsia="zh-CN" w:bidi="ar-SA"/>
        </w:rPr>
        <w:t xml:space="preserve"> (que caracteriza la magnitud de la dispersión de la relajación) se atribuye a las moléculas de agua internas y los protones lábiles en la proteína estructura [22]. Los parámetros resultantes del ajuste mediante la ecuación (2) de los datos experimentales para los perfiles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4"/>
          <w:szCs w:val="24"/>
          <w:lang w:val="es-VE" w:eastAsia="zh-CN" w:bidi="ar-SA"/>
        </w:rPr>
        <w:t xml:space="preserve"> se resumen en la tabla (1).</w:t>
      </w:r>
    </w:p>
    <w:p>
      <w:pPr>
        <w:pStyle w:val="Normal"/>
        <w:suppressAutoHyphens w:val="true"/>
        <w:spacing w:before="300" w:after="100"/>
        <w:ind w:left="0" w:right="0" w:hanging="0"/>
        <w:rPr/>
      </w:pPr>
      <w:r>
        <w:rPr>
          <w:rStyle w:val="Initial10"/>
          <w:b/>
          <w:lang w:val="es-VE"/>
        </w:rPr>
        <w:t>T</w:t>
      </w:r>
      <w:r>
        <w:rPr>
          <w:b/>
          <w:lang w:val="es-VE"/>
        </w:rPr>
        <w:t xml:space="preserve">abla </w:t>
      </w:r>
      <w:r>
        <w:rPr>
          <w:rStyle w:val="Initial10"/>
          <w:b/>
          <w:lang w:val="es-VE"/>
        </w:rPr>
        <w:fldChar w:fldCharType="begin"/>
      </w:r>
      <w:r>
        <w:rPr>
          <w:rStyle w:val="Initial10"/>
          <w:b/>
          <w:lang w:val="es-VE"/>
        </w:rPr>
        <w:instrText xml:space="preserve"> SEQ Tabla \* ARABIC </w:instrText>
      </w:r>
      <w:r>
        <w:rPr>
          <w:rStyle w:val="Initial10"/>
          <w:b/>
          <w:lang w:val="es-VE"/>
        </w:rPr>
        <w:fldChar w:fldCharType="separate"/>
      </w:r>
      <w:r>
        <w:rPr>
          <w:rStyle w:val="Initial10"/>
          <w:b/>
          <w:lang w:val="es-VE"/>
        </w:rPr>
        <w:t>1</w:t>
      </w:r>
      <w:r>
        <w:rPr>
          <w:rStyle w:val="Initial10"/>
          <w:b/>
          <w:lang w:val="es-VE"/>
        </w:rPr>
        <w:fldChar w:fldCharType="end"/>
      </w:r>
      <w:r>
        <w:rPr>
          <w:lang w:val="es-VE"/>
        </w:rPr>
        <w:t>. Par</w:t>
      </w:r>
      <w:r>
        <w:rPr>
          <w:rFonts w:eastAsia="Batang;바탕" w:cs="Times New Roman"/>
          <w:color w:val="auto"/>
          <w:sz w:val="20"/>
          <w:szCs w:val="20"/>
          <w:lang w:val="es-VE" w:eastAsia="zh-CN" w:bidi="ar-SA"/>
        </w:rPr>
        <w:t xml:space="preserve">ámetros obtenidos a partir del ajuste de los datos experimentales del perfil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0"/>
          <w:szCs w:val="20"/>
          <w:lang w:val="es-VE" w:eastAsia="zh-CN" w:bidi="ar-SA"/>
        </w:rPr>
        <w:t xml:space="preserve"> (310K) mediante el 3SEM en muestras intracelulares de HbA y HbS</w:t>
      </w:r>
    </w:p>
    <w:tbl>
      <w:tblPr>
        <w:tblW w:w="6350" w:type="dxa"/>
        <w:jc w:val="center"/>
        <w:tblInd w:w="0" w:type="dxa"/>
        <w:tblLayout w:type="fixed"/>
        <w:tblCellMar>
          <w:top w:w="11" w:type="dxa"/>
          <w:left w:w="57" w:type="dxa"/>
          <w:bottom w:w="11" w:type="dxa"/>
          <w:right w:w="57" w:type="dxa"/>
        </w:tblCellMar>
      </w:tblPr>
      <w:tblGrid>
        <w:gridCol w:w="1188"/>
        <w:gridCol w:w="1249"/>
        <w:gridCol w:w="1138"/>
        <w:gridCol w:w="1188"/>
        <w:gridCol w:w="1587"/>
      </w:tblGrid>
      <w:tr>
        <w:trPr/>
        <w:tc>
          <w:tcPr>
            <w:tcW w:w="1188" w:type="dxa"/>
            <w:tcBorders>
              <w:top w:val="single" w:sz="4" w:space="0" w:color="000000"/>
              <w:bottom w:val="single" w:sz="4" w:space="0" w:color="000000"/>
            </w:tcBorders>
            <w:vAlign w:val="center"/>
          </w:tcPr>
          <w:p>
            <w:pPr>
              <w:pStyle w:val="Normal"/>
              <w:widowControl w:val="false"/>
              <w:suppressAutoHyphens w:val="true"/>
              <w:rPr>
                <w:lang w:val="es-ES"/>
              </w:rPr>
            </w:pPr>
            <w:r>
              <w:rPr>
                <w:lang w:val="es-ES"/>
              </w:rPr>
              <w:t>Muestra</w:t>
            </w:r>
          </w:p>
        </w:tc>
        <w:tc>
          <w:tcPr>
            <w:tcW w:w="1249"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α (s</w:t>
            </w:r>
            <w:r>
              <w:rPr>
                <w:sz w:val="20"/>
                <w:vertAlign w:val="superscript"/>
                <w:lang w:val="es-ES"/>
              </w:rPr>
              <w:t>−1</w:t>
            </w:r>
            <w:r>
              <w:rPr>
                <w:sz w:val="20"/>
                <w:lang w:val="es-ES"/>
              </w:rPr>
              <w:t>)</w:t>
            </w:r>
          </w:p>
        </w:tc>
        <w:tc>
          <w:tcPr>
            <w:tcW w:w="1138"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β (10</w:t>
            </w:r>
            <w:r>
              <w:rPr>
                <w:sz w:val="20"/>
                <w:vertAlign w:val="superscript"/>
                <w:lang w:val="es-ES"/>
              </w:rPr>
              <w:t>8</w:t>
            </w:r>
            <w:r>
              <w:rPr>
                <w:sz w:val="20"/>
                <w:lang w:val="es-ES"/>
              </w:rPr>
              <w:t xml:space="preserve"> s</w:t>
            </w:r>
            <w:r>
              <w:rPr>
                <w:sz w:val="20"/>
                <w:vertAlign w:val="superscript"/>
                <w:lang w:val="es-ES"/>
              </w:rPr>
              <w:t>−2</w:t>
            </w:r>
            <w:r>
              <w:rPr>
                <w:sz w:val="20"/>
                <w:lang w:val="es-ES"/>
              </w:rPr>
              <w:t>)</w:t>
            </w:r>
          </w:p>
        </w:tc>
        <w:tc>
          <w:tcPr>
            <w:tcW w:w="1188"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τ</w:t>
            </w:r>
            <w:r>
              <w:rPr>
                <w:sz w:val="20"/>
                <w:vertAlign w:val="subscript"/>
                <w:lang w:val="es-ES"/>
              </w:rPr>
              <w:t>R</w:t>
            </w:r>
            <w:r>
              <w:rPr>
                <w:sz w:val="20"/>
                <w:lang w:val="es-ES"/>
              </w:rPr>
              <w:t xml:space="preserve"> (ns)</w:t>
            </w:r>
          </w:p>
        </w:tc>
        <w:tc>
          <w:tcPr>
            <w:tcW w:w="1587"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sz w:val="20"/>
                <w:lang w:val="es-ES"/>
              </w:rPr>
            </w:pPr>
            <w:r>
              <w:rPr>
                <w:sz w:val="20"/>
                <w:lang w:val="es-ES"/>
              </w:rPr>
              <w:t>Adjusted r square</w:t>
            </w:r>
          </w:p>
        </w:tc>
      </w:tr>
      <w:tr>
        <w:trPr>
          <w:trHeight w:val="228" w:hRule="atLeast"/>
        </w:trPr>
        <w:tc>
          <w:tcPr>
            <w:tcW w:w="1188" w:type="dxa"/>
            <w:tcBorders>
              <w:top w:val="single" w:sz="4" w:space="0" w:color="000000"/>
            </w:tcBorders>
            <w:vAlign w:val="center"/>
          </w:tcPr>
          <w:p>
            <w:pPr>
              <w:pStyle w:val="Tabletext"/>
              <w:widowControl w:val="false"/>
              <w:suppressAutoHyphens w:val="true"/>
              <w:jc w:val="both"/>
              <w:rPr>
                <w:sz w:val="20"/>
                <w:lang w:val="es-ES"/>
              </w:rPr>
            </w:pPr>
            <w:r>
              <w:rPr>
                <w:sz w:val="20"/>
                <w:lang w:val="es-ES"/>
              </w:rPr>
              <w:t>HbA-1</w:t>
            </w:r>
          </w:p>
        </w:tc>
        <w:tc>
          <w:tcPr>
            <w:tcW w:w="1249" w:type="dxa"/>
            <w:tcBorders>
              <w:top w:val="single" w:sz="4" w:space="0" w:color="000000"/>
            </w:tcBorders>
            <w:vAlign w:val="center"/>
          </w:tcPr>
          <w:p>
            <w:pPr>
              <w:pStyle w:val="Tabletext"/>
              <w:widowControl w:val="false"/>
              <w:suppressAutoHyphens w:val="true"/>
              <w:jc w:val="both"/>
              <w:rPr>
                <w:sz w:val="20"/>
                <w:lang w:val="es-ES"/>
              </w:rPr>
            </w:pPr>
            <w:r>
              <w:rPr>
                <w:sz w:val="20"/>
                <w:lang w:val="es-ES"/>
              </w:rPr>
              <w:t>2.17 ± 0.07</w:t>
            </w:r>
          </w:p>
        </w:tc>
        <w:tc>
          <w:tcPr>
            <w:tcW w:w="1138" w:type="dxa"/>
            <w:tcBorders>
              <w:top w:val="single" w:sz="4" w:space="0" w:color="000000"/>
            </w:tcBorders>
            <w:vAlign w:val="center"/>
          </w:tcPr>
          <w:p>
            <w:pPr>
              <w:pStyle w:val="Tabletext"/>
              <w:widowControl w:val="false"/>
              <w:suppressAutoHyphens w:val="true"/>
              <w:jc w:val="both"/>
              <w:rPr>
                <w:sz w:val="20"/>
                <w:lang w:val="es-ES"/>
              </w:rPr>
            </w:pPr>
            <w:r>
              <w:rPr>
                <w:sz w:val="20"/>
                <w:lang w:val="es-ES"/>
              </w:rPr>
              <w:t>0.93 ± 0.04</w:t>
            </w:r>
          </w:p>
        </w:tc>
        <w:tc>
          <w:tcPr>
            <w:tcW w:w="1188" w:type="dxa"/>
            <w:tcBorders>
              <w:top w:val="single" w:sz="4" w:space="0" w:color="000000"/>
            </w:tcBorders>
            <w:vAlign w:val="center"/>
          </w:tcPr>
          <w:p>
            <w:pPr>
              <w:pStyle w:val="Tabletext"/>
              <w:widowControl w:val="false"/>
              <w:suppressAutoHyphens w:val="true"/>
              <w:jc w:val="both"/>
              <w:rPr>
                <w:sz w:val="20"/>
                <w:lang w:val="es-ES"/>
              </w:rPr>
            </w:pPr>
            <w:r>
              <w:rPr>
                <w:sz w:val="20"/>
                <w:lang w:val="es-ES"/>
              </w:rPr>
              <w:t>75.3 ± 2.6</w:t>
            </w:r>
          </w:p>
        </w:tc>
        <w:tc>
          <w:tcPr>
            <w:tcW w:w="1587" w:type="dxa"/>
            <w:tcBorders>
              <w:top w:val="single" w:sz="4" w:space="0" w:color="000000"/>
            </w:tcBorders>
            <w:vAlign w:val="center"/>
          </w:tcPr>
          <w:p>
            <w:pPr>
              <w:pStyle w:val="Tabletext"/>
              <w:widowControl w:val="false"/>
              <w:suppressAutoHyphens w:val="true"/>
              <w:jc w:val="both"/>
              <w:rPr>
                <w:sz w:val="20"/>
                <w:lang w:val="es-ES"/>
              </w:rPr>
            </w:pPr>
            <w:r>
              <w:rPr>
                <w:sz w:val="20"/>
                <w:lang w:val="es-ES"/>
              </w:rPr>
              <w:t>0.96 ± 0.01</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HbA-2</w:t>
            </w:r>
          </w:p>
        </w:tc>
        <w:tc>
          <w:tcPr>
            <w:tcW w:w="1249" w:type="dxa"/>
            <w:tcBorders/>
            <w:vAlign w:val="center"/>
          </w:tcPr>
          <w:p>
            <w:pPr>
              <w:pStyle w:val="Tabletext"/>
              <w:widowControl w:val="false"/>
              <w:suppressAutoHyphens w:val="true"/>
              <w:jc w:val="both"/>
              <w:rPr>
                <w:sz w:val="20"/>
                <w:lang w:val="es-ES"/>
              </w:rPr>
            </w:pPr>
            <w:r>
              <w:rPr>
                <w:sz w:val="20"/>
                <w:lang w:val="es-ES"/>
              </w:rPr>
              <w:t>2.42 ± 0.25</w:t>
            </w:r>
          </w:p>
        </w:tc>
        <w:tc>
          <w:tcPr>
            <w:tcW w:w="1138" w:type="dxa"/>
            <w:tcBorders/>
            <w:vAlign w:val="center"/>
          </w:tcPr>
          <w:p>
            <w:pPr>
              <w:pStyle w:val="Tabletext"/>
              <w:widowControl w:val="false"/>
              <w:suppressAutoHyphens w:val="true"/>
              <w:jc w:val="both"/>
              <w:rPr>
                <w:sz w:val="20"/>
                <w:lang w:val="es-ES"/>
              </w:rPr>
            </w:pPr>
            <w:r>
              <w:rPr>
                <w:sz w:val="20"/>
                <w:lang w:val="es-ES"/>
              </w:rPr>
              <w:t>1.09 ± 0.20</w:t>
            </w:r>
          </w:p>
        </w:tc>
        <w:tc>
          <w:tcPr>
            <w:tcW w:w="1188" w:type="dxa"/>
            <w:tcBorders/>
            <w:vAlign w:val="center"/>
          </w:tcPr>
          <w:p>
            <w:pPr>
              <w:pStyle w:val="Tabletext"/>
              <w:widowControl w:val="false"/>
              <w:suppressAutoHyphens w:val="true"/>
              <w:jc w:val="both"/>
              <w:rPr>
                <w:sz w:val="20"/>
                <w:lang w:val="es-ES"/>
              </w:rPr>
            </w:pPr>
            <w:r>
              <w:rPr>
                <w:sz w:val="20"/>
                <w:lang w:val="es-ES"/>
              </w:rPr>
              <w:t>49.3 ± 9.2</w:t>
            </w:r>
          </w:p>
        </w:tc>
        <w:tc>
          <w:tcPr>
            <w:tcW w:w="1587" w:type="dxa"/>
            <w:tcBorders/>
            <w:vAlign w:val="center"/>
          </w:tcPr>
          <w:p>
            <w:pPr>
              <w:pStyle w:val="Tabletext"/>
              <w:widowControl w:val="false"/>
              <w:suppressAutoHyphens w:val="true"/>
              <w:jc w:val="both"/>
              <w:rPr>
                <w:sz w:val="20"/>
                <w:lang w:val="es-ES"/>
              </w:rPr>
            </w:pPr>
            <w:r>
              <w:rPr>
                <w:sz w:val="20"/>
                <w:lang w:val="es-ES"/>
              </w:rPr>
              <w:t>0.95 ± 0.01</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HbA-3</w:t>
            </w:r>
          </w:p>
        </w:tc>
        <w:tc>
          <w:tcPr>
            <w:tcW w:w="1249" w:type="dxa"/>
            <w:tcBorders/>
            <w:vAlign w:val="center"/>
          </w:tcPr>
          <w:p>
            <w:pPr>
              <w:pStyle w:val="Tabletext"/>
              <w:widowControl w:val="false"/>
              <w:suppressAutoHyphens w:val="true"/>
              <w:jc w:val="both"/>
              <w:rPr>
                <w:sz w:val="20"/>
                <w:lang w:val="es-ES"/>
              </w:rPr>
            </w:pPr>
            <w:r>
              <w:rPr>
                <w:sz w:val="20"/>
                <w:lang w:val="es-ES"/>
              </w:rPr>
              <w:t>5.52 ± 0.05</w:t>
            </w:r>
          </w:p>
        </w:tc>
        <w:tc>
          <w:tcPr>
            <w:tcW w:w="1138" w:type="dxa"/>
            <w:tcBorders/>
            <w:vAlign w:val="center"/>
          </w:tcPr>
          <w:p>
            <w:pPr>
              <w:pStyle w:val="Tabletext"/>
              <w:widowControl w:val="false"/>
              <w:suppressAutoHyphens w:val="true"/>
              <w:jc w:val="both"/>
              <w:rPr>
                <w:sz w:val="20"/>
                <w:lang w:val="es-ES"/>
              </w:rPr>
            </w:pPr>
            <w:r>
              <w:rPr>
                <w:sz w:val="20"/>
                <w:lang w:val="es-ES"/>
              </w:rPr>
              <w:t>1.27 ± 0.68</w:t>
            </w:r>
          </w:p>
        </w:tc>
        <w:tc>
          <w:tcPr>
            <w:tcW w:w="1188" w:type="dxa"/>
            <w:tcBorders/>
            <w:vAlign w:val="center"/>
          </w:tcPr>
          <w:p>
            <w:pPr>
              <w:pStyle w:val="Tabletext"/>
              <w:widowControl w:val="false"/>
              <w:suppressAutoHyphens w:val="true"/>
              <w:jc w:val="both"/>
              <w:rPr>
                <w:sz w:val="20"/>
                <w:lang w:val="es-ES"/>
              </w:rPr>
            </w:pPr>
            <w:r>
              <w:rPr>
                <w:sz w:val="20"/>
                <w:lang w:val="es-ES"/>
              </w:rPr>
              <w:t>66.8 ± 3.5</w:t>
            </w:r>
          </w:p>
        </w:tc>
        <w:tc>
          <w:tcPr>
            <w:tcW w:w="1587" w:type="dxa"/>
            <w:tcBorders/>
            <w:vAlign w:val="center"/>
          </w:tcPr>
          <w:p>
            <w:pPr>
              <w:pStyle w:val="Tabletext"/>
              <w:widowControl w:val="false"/>
              <w:suppressAutoHyphens w:val="true"/>
              <w:jc w:val="both"/>
              <w:rPr>
                <w:sz w:val="20"/>
                <w:lang w:val="es-ES"/>
              </w:rPr>
            </w:pPr>
            <w:r>
              <w:rPr>
                <w:sz w:val="20"/>
                <w:lang w:val="es-ES"/>
              </w:rPr>
              <w:t>0.94 ± 0.003</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HbA-4</w:t>
            </w:r>
          </w:p>
        </w:tc>
        <w:tc>
          <w:tcPr>
            <w:tcW w:w="1249" w:type="dxa"/>
            <w:tcBorders/>
            <w:vAlign w:val="center"/>
          </w:tcPr>
          <w:p>
            <w:pPr>
              <w:pStyle w:val="Tabletext"/>
              <w:widowControl w:val="false"/>
              <w:suppressAutoHyphens w:val="true"/>
              <w:jc w:val="both"/>
              <w:rPr>
                <w:sz w:val="20"/>
                <w:lang w:val="es-ES"/>
              </w:rPr>
            </w:pPr>
            <w:r>
              <w:rPr>
                <w:sz w:val="20"/>
                <w:lang w:val="es-ES"/>
              </w:rPr>
              <w:t>3.84 ± 0.11</w:t>
            </w:r>
          </w:p>
        </w:tc>
        <w:tc>
          <w:tcPr>
            <w:tcW w:w="1138" w:type="dxa"/>
            <w:tcBorders/>
            <w:vAlign w:val="center"/>
          </w:tcPr>
          <w:p>
            <w:pPr>
              <w:pStyle w:val="Tabletext"/>
              <w:widowControl w:val="false"/>
              <w:suppressAutoHyphens w:val="true"/>
              <w:jc w:val="both"/>
              <w:rPr>
                <w:sz w:val="20"/>
                <w:lang w:val="es-ES"/>
              </w:rPr>
            </w:pPr>
            <w:r>
              <w:rPr>
                <w:sz w:val="20"/>
                <w:lang w:val="es-ES"/>
              </w:rPr>
              <w:t>1.05 ± 0.04</w:t>
            </w:r>
          </w:p>
        </w:tc>
        <w:tc>
          <w:tcPr>
            <w:tcW w:w="1188" w:type="dxa"/>
            <w:tcBorders/>
            <w:vAlign w:val="center"/>
          </w:tcPr>
          <w:p>
            <w:pPr>
              <w:pStyle w:val="Tabletext"/>
              <w:widowControl w:val="false"/>
              <w:suppressAutoHyphens w:val="true"/>
              <w:jc w:val="both"/>
              <w:rPr>
                <w:sz w:val="20"/>
                <w:lang w:val="es-ES"/>
              </w:rPr>
            </w:pPr>
            <w:r>
              <w:rPr>
                <w:sz w:val="20"/>
                <w:lang w:val="es-ES"/>
              </w:rPr>
              <w:t>67.0 ± 2.1</w:t>
            </w:r>
          </w:p>
        </w:tc>
        <w:tc>
          <w:tcPr>
            <w:tcW w:w="1587" w:type="dxa"/>
            <w:tcBorders/>
            <w:vAlign w:val="center"/>
          </w:tcPr>
          <w:p>
            <w:pPr>
              <w:pStyle w:val="Tabletext"/>
              <w:widowControl w:val="false"/>
              <w:suppressAutoHyphens w:val="true"/>
              <w:jc w:val="both"/>
              <w:rPr>
                <w:sz w:val="20"/>
                <w:lang w:val="es-ES"/>
              </w:rPr>
            </w:pPr>
            <w:r>
              <w:rPr>
                <w:sz w:val="20"/>
                <w:lang w:val="es-ES"/>
              </w:rPr>
              <w:t>0.95 ± 0.01</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HbA-5</w:t>
            </w:r>
          </w:p>
        </w:tc>
        <w:tc>
          <w:tcPr>
            <w:tcW w:w="1249" w:type="dxa"/>
            <w:tcBorders/>
            <w:vAlign w:val="center"/>
          </w:tcPr>
          <w:p>
            <w:pPr>
              <w:pStyle w:val="Tabletext"/>
              <w:widowControl w:val="false"/>
              <w:suppressAutoHyphens w:val="true"/>
              <w:jc w:val="both"/>
              <w:rPr>
                <w:sz w:val="20"/>
              </w:rPr>
            </w:pPr>
            <w:r>
              <w:rPr>
                <w:sz w:val="20"/>
              </w:rPr>
              <w:t>4.85 ± 0.10</w:t>
            </w:r>
          </w:p>
        </w:tc>
        <w:tc>
          <w:tcPr>
            <w:tcW w:w="1138" w:type="dxa"/>
            <w:tcBorders/>
            <w:vAlign w:val="center"/>
          </w:tcPr>
          <w:p>
            <w:pPr>
              <w:pStyle w:val="Tabletext"/>
              <w:widowControl w:val="false"/>
              <w:suppressAutoHyphens w:val="true"/>
              <w:jc w:val="both"/>
              <w:rPr>
                <w:sz w:val="20"/>
              </w:rPr>
            </w:pPr>
            <w:r>
              <w:rPr>
                <w:sz w:val="20"/>
              </w:rPr>
              <w:t>1.12 ± 0.05</w:t>
            </w:r>
          </w:p>
        </w:tc>
        <w:tc>
          <w:tcPr>
            <w:tcW w:w="1188" w:type="dxa"/>
            <w:tcBorders/>
            <w:vAlign w:val="center"/>
          </w:tcPr>
          <w:p>
            <w:pPr>
              <w:pStyle w:val="Tabletext"/>
              <w:widowControl w:val="false"/>
              <w:suppressAutoHyphens w:val="true"/>
              <w:jc w:val="both"/>
              <w:rPr>
                <w:sz w:val="20"/>
              </w:rPr>
            </w:pPr>
            <w:r>
              <w:rPr>
                <w:sz w:val="20"/>
              </w:rPr>
              <w:t>73.4 ± 3.6</w:t>
            </w:r>
          </w:p>
        </w:tc>
        <w:tc>
          <w:tcPr>
            <w:tcW w:w="1587" w:type="dxa"/>
            <w:tcBorders/>
            <w:vAlign w:val="center"/>
          </w:tcPr>
          <w:p>
            <w:pPr>
              <w:pStyle w:val="Tabletext"/>
              <w:widowControl w:val="false"/>
              <w:suppressAutoHyphens w:val="true"/>
              <w:jc w:val="both"/>
              <w:rPr>
                <w:sz w:val="20"/>
              </w:rPr>
            </w:pPr>
            <w:r>
              <w:rPr>
                <w:sz w:val="20"/>
              </w:rPr>
              <w:t>0.93 ± 0.01</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HbA-6</w:t>
            </w:r>
          </w:p>
        </w:tc>
        <w:tc>
          <w:tcPr>
            <w:tcW w:w="1249" w:type="dxa"/>
            <w:tcBorders/>
            <w:vAlign w:val="center"/>
          </w:tcPr>
          <w:p>
            <w:pPr>
              <w:pStyle w:val="Tabletext"/>
              <w:widowControl w:val="false"/>
              <w:suppressAutoHyphens w:val="true"/>
              <w:jc w:val="both"/>
              <w:rPr>
                <w:sz w:val="20"/>
              </w:rPr>
            </w:pPr>
            <w:r>
              <w:rPr>
                <w:sz w:val="20"/>
              </w:rPr>
              <w:t>5.01 ± 0.01</w:t>
            </w:r>
          </w:p>
        </w:tc>
        <w:tc>
          <w:tcPr>
            <w:tcW w:w="1138" w:type="dxa"/>
            <w:tcBorders/>
            <w:vAlign w:val="center"/>
          </w:tcPr>
          <w:p>
            <w:pPr>
              <w:pStyle w:val="Tabletext"/>
              <w:widowControl w:val="false"/>
              <w:suppressAutoHyphens w:val="true"/>
              <w:jc w:val="both"/>
              <w:rPr>
                <w:sz w:val="20"/>
              </w:rPr>
            </w:pPr>
            <w:r>
              <w:rPr>
                <w:sz w:val="20"/>
              </w:rPr>
              <w:t>1.03 ± 0.04</w:t>
            </w:r>
          </w:p>
        </w:tc>
        <w:tc>
          <w:tcPr>
            <w:tcW w:w="1188" w:type="dxa"/>
            <w:tcBorders/>
            <w:vAlign w:val="center"/>
          </w:tcPr>
          <w:p>
            <w:pPr>
              <w:pStyle w:val="Tabletext"/>
              <w:widowControl w:val="false"/>
              <w:suppressAutoHyphens w:val="true"/>
              <w:jc w:val="both"/>
              <w:rPr>
                <w:sz w:val="20"/>
              </w:rPr>
            </w:pPr>
            <w:r>
              <w:rPr>
                <w:sz w:val="20"/>
              </w:rPr>
              <w:t>74.0 ± 3.0</w:t>
            </w:r>
          </w:p>
        </w:tc>
        <w:tc>
          <w:tcPr>
            <w:tcW w:w="1587" w:type="dxa"/>
            <w:tcBorders/>
            <w:vAlign w:val="center"/>
          </w:tcPr>
          <w:p>
            <w:pPr>
              <w:pStyle w:val="Tabletext"/>
              <w:widowControl w:val="false"/>
              <w:suppressAutoHyphens w:val="true"/>
              <w:jc w:val="both"/>
              <w:rPr>
                <w:sz w:val="20"/>
              </w:rPr>
            </w:pPr>
            <w:r>
              <w:rPr>
                <w:sz w:val="20"/>
              </w:rPr>
              <w:t>0.93 ± 0.003</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HbA-7</w:t>
            </w:r>
          </w:p>
        </w:tc>
        <w:tc>
          <w:tcPr>
            <w:tcW w:w="1249" w:type="dxa"/>
            <w:tcBorders/>
            <w:vAlign w:val="center"/>
          </w:tcPr>
          <w:p>
            <w:pPr>
              <w:pStyle w:val="Tabletext"/>
              <w:widowControl w:val="false"/>
              <w:suppressAutoHyphens w:val="true"/>
              <w:jc w:val="both"/>
              <w:rPr>
                <w:sz w:val="20"/>
              </w:rPr>
            </w:pPr>
            <w:r>
              <w:rPr>
                <w:sz w:val="20"/>
              </w:rPr>
              <w:t>5.72 ± 0.06</w:t>
            </w:r>
          </w:p>
        </w:tc>
        <w:tc>
          <w:tcPr>
            <w:tcW w:w="1138" w:type="dxa"/>
            <w:tcBorders/>
            <w:vAlign w:val="center"/>
          </w:tcPr>
          <w:p>
            <w:pPr>
              <w:pStyle w:val="Tabletext"/>
              <w:widowControl w:val="false"/>
              <w:suppressAutoHyphens w:val="true"/>
              <w:jc w:val="both"/>
              <w:rPr>
                <w:sz w:val="20"/>
              </w:rPr>
            </w:pPr>
            <w:r>
              <w:rPr>
                <w:sz w:val="20"/>
              </w:rPr>
              <w:t>1.16 ± 0.04</w:t>
            </w:r>
          </w:p>
        </w:tc>
        <w:tc>
          <w:tcPr>
            <w:tcW w:w="1188" w:type="dxa"/>
            <w:tcBorders/>
            <w:vAlign w:val="center"/>
          </w:tcPr>
          <w:p>
            <w:pPr>
              <w:pStyle w:val="Tabletext"/>
              <w:widowControl w:val="false"/>
              <w:suppressAutoHyphens w:val="true"/>
              <w:jc w:val="both"/>
              <w:rPr>
                <w:sz w:val="20"/>
              </w:rPr>
            </w:pPr>
            <w:r>
              <w:rPr>
                <w:sz w:val="20"/>
              </w:rPr>
              <w:t>86.4 ± 4.3</w:t>
            </w:r>
          </w:p>
        </w:tc>
        <w:tc>
          <w:tcPr>
            <w:tcW w:w="1587" w:type="dxa"/>
            <w:tcBorders/>
            <w:vAlign w:val="center"/>
          </w:tcPr>
          <w:p>
            <w:pPr>
              <w:pStyle w:val="Tabletext"/>
              <w:widowControl w:val="false"/>
              <w:suppressAutoHyphens w:val="true"/>
              <w:jc w:val="both"/>
              <w:rPr>
                <w:sz w:val="20"/>
              </w:rPr>
            </w:pPr>
            <w:r>
              <w:rPr>
                <w:sz w:val="20"/>
              </w:rPr>
              <w:t>0.95 ± 0.003</w:t>
            </w:r>
          </w:p>
        </w:tc>
      </w:tr>
      <w:tr>
        <w:trPr>
          <w:trHeight w:val="228" w:hRule="atLeast"/>
        </w:trPr>
        <w:tc>
          <w:tcPr>
            <w:tcW w:w="1188" w:type="dxa"/>
            <w:tcBorders/>
            <w:vAlign w:val="center"/>
          </w:tcPr>
          <w:p>
            <w:pPr>
              <w:pStyle w:val="Tabletext"/>
              <w:widowControl w:val="false"/>
              <w:suppressAutoHyphens w:val="true"/>
              <w:jc w:val="both"/>
              <w:rPr>
                <w:sz w:val="20"/>
                <w:lang w:val="es-ES"/>
              </w:rPr>
            </w:pPr>
            <w:r>
              <w:rPr>
                <w:sz w:val="20"/>
                <w:lang w:val="es-ES"/>
              </w:rPr>
              <w:t>HbS-1</w:t>
            </w:r>
          </w:p>
        </w:tc>
        <w:tc>
          <w:tcPr>
            <w:tcW w:w="1249" w:type="dxa"/>
            <w:tcBorders/>
            <w:vAlign w:val="center"/>
          </w:tcPr>
          <w:p>
            <w:pPr>
              <w:pStyle w:val="Tabletext"/>
              <w:widowControl w:val="false"/>
              <w:suppressAutoHyphens w:val="true"/>
              <w:jc w:val="both"/>
              <w:rPr>
                <w:sz w:val="20"/>
              </w:rPr>
            </w:pPr>
            <w:r>
              <w:rPr>
                <w:sz w:val="20"/>
              </w:rPr>
              <w:t>1.79 ± 0.06</w:t>
            </w:r>
          </w:p>
        </w:tc>
        <w:tc>
          <w:tcPr>
            <w:tcW w:w="1138" w:type="dxa"/>
            <w:tcBorders/>
            <w:vAlign w:val="center"/>
          </w:tcPr>
          <w:p>
            <w:pPr>
              <w:pStyle w:val="Tabletext"/>
              <w:widowControl w:val="false"/>
              <w:suppressAutoHyphens w:val="true"/>
              <w:jc w:val="both"/>
              <w:rPr>
                <w:sz w:val="20"/>
              </w:rPr>
            </w:pPr>
            <w:r>
              <w:rPr>
                <w:sz w:val="20"/>
              </w:rPr>
              <w:t>0.76 ± 0.04</w:t>
            </w:r>
          </w:p>
        </w:tc>
        <w:tc>
          <w:tcPr>
            <w:tcW w:w="1188" w:type="dxa"/>
            <w:tcBorders/>
            <w:vAlign w:val="center"/>
          </w:tcPr>
          <w:p>
            <w:pPr>
              <w:pStyle w:val="Tabletext"/>
              <w:widowControl w:val="false"/>
              <w:suppressAutoHyphens w:val="true"/>
              <w:jc w:val="both"/>
              <w:rPr>
                <w:sz w:val="20"/>
              </w:rPr>
            </w:pPr>
            <w:r>
              <w:rPr>
                <w:sz w:val="20"/>
              </w:rPr>
              <w:t>65.9 ± 2.7</w:t>
            </w:r>
          </w:p>
        </w:tc>
        <w:tc>
          <w:tcPr>
            <w:tcW w:w="1587" w:type="dxa"/>
            <w:tcBorders/>
            <w:vAlign w:val="center"/>
          </w:tcPr>
          <w:p>
            <w:pPr>
              <w:pStyle w:val="Tabletext"/>
              <w:widowControl w:val="false"/>
              <w:suppressAutoHyphens w:val="true"/>
              <w:jc w:val="both"/>
              <w:rPr>
                <w:sz w:val="20"/>
              </w:rPr>
            </w:pPr>
            <w:r>
              <w:rPr>
                <w:sz w:val="20"/>
              </w:rPr>
              <w:t>0.94 ± 0.003</w:t>
            </w:r>
          </w:p>
        </w:tc>
      </w:tr>
      <w:tr>
        <w:trPr>
          <w:trHeight w:val="228" w:hRule="atLeast"/>
        </w:trPr>
        <w:tc>
          <w:tcPr>
            <w:tcW w:w="1188" w:type="dxa"/>
            <w:tcBorders>
              <w:bottom w:val="single" w:sz="4" w:space="0" w:color="000000"/>
            </w:tcBorders>
            <w:vAlign w:val="center"/>
          </w:tcPr>
          <w:p>
            <w:pPr>
              <w:pStyle w:val="Tabletext"/>
              <w:widowControl w:val="false"/>
              <w:suppressAutoHyphens w:val="true"/>
              <w:jc w:val="both"/>
              <w:rPr>
                <w:sz w:val="20"/>
                <w:lang w:val="es-ES"/>
              </w:rPr>
            </w:pPr>
            <w:r>
              <w:rPr>
                <w:sz w:val="20"/>
                <w:lang w:val="es-ES"/>
              </w:rPr>
              <w:t>HbS-2</w:t>
            </w:r>
          </w:p>
        </w:tc>
        <w:tc>
          <w:tcPr>
            <w:tcW w:w="1249" w:type="dxa"/>
            <w:tcBorders>
              <w:bottom w:val="single" w:sz="4" w:space="0" w:color="000000"/>
            </w:tcBorders>
            <w:vAlign w:val="center"/>
          </w:tcPr>
          <w:p>
            <w:pPr>
              <w:pStyle w:val="Tabletext"/>
              <w:widowControl w:val="false"/>
              <w:suppressAutoHyphens w:val="true"/>
              <w:jc w:val="both"/>
              <w:rPr>
                <w:sz w:val="20"/>
              </w:rPr>
            </w:pPr>
            <w:r>
              <w:rPr>
                <w:sz w:val="20"/>
              </w:rPr>
              <w:t>2.20 ± 0.05</w:t>
            </w:r>
          </w:p>
        </w:tc>
        <w:tc>
          <w:tcPr>
            <w:tcW w:w="1138" w:type="dxa"/>
            <w:tcBorders>
              <w:bottom w:val="single" w:sz="4" w:space="0" w:color="000000"/>
            </w:tcBorders>
            <w:vAlign w:val="center"/>
          </w:tcPr>
          <w:p>
            <w:pPr>
              <w:pStyle w:val="Tabletext"/>
              <w:widowControl w:val="false"/>
              <w:suppressAutoHyphens w:val="true"/>
              <w:jc w:val="both"/>
              <w:rPr>
                <w:sz w:val="20"/>
              </w:rPr>
            </w:pPr>
            <w:r>
              <w:rPr>
                <w:sz w:val="20"/>
              </w:rPr>
              <w:t>0.85 ± 0.05</w:t>
            </w:r>
          </w:p>
        </w:tc>
        <w:tc>
          <w:tcPr>
            <w:tcW w:w="1188" w:type="dxa"/>
            <w:tcBorders>
              <w:bottom w:val="single" w:sz="4" w:space="0" w:color="000000"/>
            </w:tcBorders>
            <w:vAlign w:val="center"/>
          </w:tcPr>
          <w:p>
            <w:pPr>
              <w:pStyle w:val="Tabletext"/>
              <w:widowControl w:val="false"/>
              <w:suppressAutoHyphens w:val="true"/>
              <w:jc w:val="both"/>
              <w:rPr>
                <w:sz w:val="20"/>
              </w:rPr>
            </w:pPr>
            <w:r>
              <w:rPr>
                <w:sz w:val="20"/>
              </w:rPr>
              <w:t>60.1 ± 5.5</w:t>
            </w:r>
          </w:p>
        </w:tc>
        <w:tc>
          <w:tcPr>
            <w:tcW w:w="1587" w:type="dxa"/>
            <w:tcBorders>
              <w:bottom w:val="single" w:sz="4" w:space="0" w:color="000000"/>
            </w:tcBorders>
            <w:vAlign w:val="center"/>
          </w:tcPr>
          <w:p>
            <w:pPr>
              <w:pStyle w:val="Tabletext"/>
              <w:widowControl w:val="false"/>
              <w:suppressAutoHyphens w:val="true"/>
              <w:jc w:val="both"/>
              <w:rPr>
                <w:sz w:val="20"/>
              </w:rPr>
            </w:pPr>
            <w:r>
              <w:rPr>
                <w:sz w:val="20"/>
              </w:rPr>
              <w:t>0.93 ± 0.01</w:t>
            </w:r>
          </w:p>
        </w:tc>
      </w:tr>
    </w:tbl>
    <w:p>
      <w:pPr>
        <w:pStyle w:val="Normal"/>
        <w:suppressAutoHyphens w:val="true"/>
        <w:ind w:left="0" w:right="0" w:hanging="0"/>
        <w:rPr>
          <w:sz w:val="24"/>
          <w:szCs w:val="24"/>
          <w:lang w:val="es-ES"/>
        </w:rPr>
      </w:pPr>
      <w:r>
        <w:rPr>
          <w:sz w:val="24"/>
          <w:szCs w:val="24"/>
          <w:lang w:val="es-ES"/>
        </w:rPr>
      </w:r>
    </w:p>
    <w:p>
      <w:pPr>
        <w:pStyle w:val="Normal"/>
        <w:suppressAutoHyphens w:val="true"/>
        <w:ind w:left="0" w:right="0" w:hanging="0"/>
        <w:rPr/>
      </w:pPr>
      <w:r>
        <w:rPr>
          <w:sz w:val="24"/>
          <w:szCs w:val="24"/>
          <w:lang w:val="es-VE"/>
        </w:rPr>
        <w:t xml:space="preserve">El 2SWEM claramente no se ajusta a los perfiles experimentales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sz w:val="24"/>
          <w:szCs w:val="24"/>
          <w:lang w:val="es-VE"/>
        </w:rPr>
        <w:t xml:space="preserve"> (ver Fig. 1, r cuadrado ajustado ~ 0.7–0.8). Para resolver este inconveniente, Lindstrom y Koenig (LK) [15] y Hallenga y Koenig (HK) [19] desarrollaron modelos matemáticos adecuados para el ajuste. El modelo HK es el enfoque más utilizado y se conoce comúnmente como expresión de Cole-Cole [19, 27]. A pesar de su muy buena descripción de los perfiles experimentales de 1HMRD (r cuadrado ajustado ~ 0,99), los métodos LK y HK han recibido muchas críticas debido a que esos modelos no se basan correctamente en la teoría de la relajación magnética de protones [27] .</w:t>
      </w:r>
    </w:p>
    <w:p>
      <w:pPr>
        <w:pStyle w:val="Normal"/>
        <w:suppressAutoHyphens w:val="true"/>
        <w:ind w:left="0" w:right="0" w:hanging="0"/>
        <w:rPr>
          <w:sz w:val="24"/>
          <w:szCs w:val="24"/>
          <w:lang w:val="es-VE"/>
        </w:rPr>
      </w:pPr>
      <w:r>
        <w:rPr>
          <w:sz w:val="24"/>
          <w:szCs w:val="24"/>
          <w:lang w:val="es-VE"/>
        </w:rPr>
      </w:r>
    </w:p>
    <w:p>
      <w:pPr>
        <w:pStyle w:val="Normal"/>
        <w:suppressAutoHyphens w:val="true"/>
        <w:ind w:left="0" w:right="0" w:hanging="0"/>
        <w:rPr>
          <w:sz w:val="24"/>
          <w:szCs w:val="24"/>
          <w:lang w:val="es-VE"/>
        </w:rPr>
      </w:pPr>
      <w:r>
        <w:rPr>
          <w:sz w:val="24"/>
          <w:szCs w:val="24"/>
          <w:lang w:val="es-VE"/>
        </w:rPr>
        <w:drawing>
          <wp:anchor behindDoc="0" distT="0" distB="0" distL="0" distR="0" simplePos="0" locked="0" layoutInCell="0" allowOverlap="1" relativeHeight="6">
            <wp:simplePos x="0" y="0"/>
            <wp:positionH relativeFrom="column">
              <wp:align>center</wp:align>
            </wp:positionH>
            <wp:positionV relativeFrom="paragraph">
              <wp:align>bottom</wp:align>
            </wp:positionV>
            <wp:extent cx="2964180" cy="2301875"/>
            <wp:effectExtent l="0" t="0" r="0" b="0"/>
            <wp:wrapTopAndBottom/>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rcRect l="-19" t="-28" r="-19" b="-28"/>
                    <a:stretch>
                      <a:fillRect/>
                    </a:stretch>
                  </pic:blipFill>
                  <pic:spPr bwMode="auto">
                    <a:xfrm>
                      <a:off x="0" y="0"/>
                      <a:ext cx="2964180" cy="2301875"/>
                    </a:xfrm>
                    <a:prstGeom prst="rect">
                      <a:avLst/>
                    </a:prstGeom>
                  </pic:spPr>
                </pic:pic>
              </a:graphicData>
            </a:graphic>
          </wp:anchor>
        </w:drawing>
      </w:r>
    </w:p>
    <w:p>
      <w:pPr>
        <w:pStyle w:val="Figura"/>
        <w:suppressAutoHyphens w:val="true"/>
        <w:spacing w:before="120" w:after="120"/>
        <w:ind w:left="0" w:right="0" w:hanging="0"/>
        <w:rPr/>
      </w:pPr>
      <w:r>
        <w:rPr>
          <w:rFonts w:eastAsia="Batang;바탕" w:cs="Times New Roman"/>
          <w:b/>
          <w:bCs/>
          <w:i w:val="false"/>
          <w:iCs w:val="false"/>
          <w:color w:val="auto"/>
          <w:sz w:val="24"/>
          <w:szCs w:val="24"/>
          <w:lang w:val="es-VE" w:eastAsia="zh-CN" w:bidi="ar-SA"/>
        </w:rPr>
        <w:t xml:space="preserve">Figura </w:t>
      </w:r>
      <w:r>
        <w:rPr>
          <w:rFonts w:eastAsia="Batang;바탕" w:cs="Times New Roman"/>
          <w:b/>
          <w:bCs/>
          <w:i w:val="false"/>
          <w:iCs w:val="false"/>
          <w:color w:val="auto"/>
          <w:sz w:val="24"/>
          <w:szCs w:val="24"/>
          <w:lang w:val="es-VE" w:eastAsia="zh-CN" w:bidi="ar-SA"/>
        </w:rPr>
        <w:fldChar w:fldCharType="begin"/>
      </w:r>
      <w:r>
        <w:rPr>
          <w:sz w:val="24"/>
          <w:i w:val="false"/>
          <w:b/>
          <w:szCs w:val="24"/>
          <w:iCs w:val="false"/>
          <w:bCs/>
          <w:rFonts w:eastAsia="Batang;바탕" w:cs="Times New Roman"/>
          <w:color w:val="auto"/>
          <w:lang w:val="es-VE" w:eastAsia="zh-CN" w:bidi="ar-SA"/>
        </w:rPr>
        <w:instrText xml:space="preserve"> SEQ Figura \* ARABIC </w:instrText>
      </w:r>
      <w:r>
        <w:rPr>
          <w:sz w:val="24"/>
          <w:i w:val="false"/>
          <w:b/>
          <w:szCs w:val="24"/>
          <w:iCs w:val="false"/>
          <w:bCs/>
          <w:rFonts w:eastAsia="Batang;바탕" w:cs="Times New Roman"/>
          <w:color w:val="auto"/>
          <w:lang w:val="es-VE" w:eastAsia="zh-CN" w:bidi="ar-SA"/>
        </w:rPr>
        <w:fldChar w:fldCharType="separate"/>
      </w:r>
      <w:r>
        <w:rPr>
          <w:sz w:val="24"/>
          <w:i w:val="false"/>
          <w:b/>
          <w:szCs w:val="24"/>
          <w:iCs w:val="false"/>
          <w:bCs/>
          <w:rFonts w:eastAsia="Batang;바탕" w:cs="Times New Roman"/>
          <w:color w:val="auto"/>
          <w:lang w:val="es-VE" w:eastAsia="zh-CN" w:bidi="ar-SA"/>
        </w:rPr>
        <w:t>1</w:t>
      </w:r>
      <w:r>
        <w:rPr>
          <w:sz w:val="24"/>
          <w:i w:val="false"/>
          <w:b/>
          <w:szCs w:val="24"/>
          <w:iCs w:val="false"/>
          <w:bCs/>
          <w:rFonts w:eastAsia="Batang;바탕" w:cs="Times New Roman"/>
          <w:color w:val="auto"/>
          <w:lang w:val="es-VE" w:eastAsia="zh-CN" w:bidi="ar-SA"/>
        </w:rPr>
        <w:fldChar w:fldCharType="end"/>
      </w:r>
      <w:r>
        <w:rPr>
          <w:rFonts w:eastAsia="Batang;바탕" w:cs="Times New Roman"/>
          <w:i w:val="false"/>
          <w:iCs w:val="false"/>
          <w:color w:val="auto"/>
          <w:sz w:val="24"/>
          <w:szCs w:val="24"/>
          <w:lang w:val="es-VE" w:eastAsia="zh-CN" w:bidi="ar-SA"/>
        </w:rPr>
        <w:t xml:space="preserve">: Perfil de dispersión típico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i w:val="false"/>
          <w:iCs w:val="false"/>
          <w:color w:val="auto"/>
          <w:sz w:val="24"/>
          <w:szCs w:val="24"/>
          <w:lang w:val="es-VE" w:eastAsia="zh-CN" w:bidi="ar-SA"/>
        </w:rPr>
        <w:t xml:space="preserve"> para soluciones intraceluláres de Hb a 310 K. Los datos experimentales han sido ajustados mediante los modelos de dos y tres sitios de intercambio</w:t>
      </w:r>
    </w:p>
    <w:p>
      <w:pPr>
        <w:pStyle w:val="Normal"/>
        <w:suppressAutoHyphens w:val="true"/>
        <w:ind w:left="0" w:right="0" w:hanging="0"/>
        <w:rPr>
          <w:rFonts w:eastAsia="Batang;바탕" w:cs="Times New Roman"/>
          <w:i w:val="false"/>
          <w:i w:val="false"/>
          <w:iCs w:val="false"/>
          <w:color w:val="auto"/>
          <w:sz w:val="24"/>
          <w:szCs w:val="24"/>
          <w:lang w:val="es-VE" w:eastAsia="zh-CN" w:bidi="ar-SA"/>
        </w:rPr>
      </w:pPr>
      <w:r>
        <w:rPr>
          <w:rFonts w:eastAsia="Batang;바탕" w:cs="Times New Roman"/>
          <w:i w:val="false"/>
          <w:iCs w:val="false"/>
          <w:color w:val="auto"/>
          <w:sz w:val="24"/>
          <w:szCs w:val="24"/>
          <w:lang w:val="es-VE" w:eastAsia="zh-CN" w:bidi="ar-SA"/>
        </w:rPr>
        <w:t>A pesar de la mayor calidad del ajuste logrado con el 3SEM, está claro que debe mejorarse. Para ello sugerimos considerar dos dispersiones como sigue:</w:t>
      </w:r>
    </w:p>
    <w:p>
      <w:pPr>
        <w:pStyle w:val="Ttulo2"/>
        <w:numPr>
          <w:ilvl w:val="0"/>
          <w:numId w:val="0"/>
        </w:numPr>
        <w:ind w:left="0" w:right="0" w:hanging="0"/>
        <w:jc w:val="left"/>
        <w:rPr>
          <w:rFonts w:eastAsia="Batang;바탕" w:cs="Times New Roman"/>
          <w:color w:val="auto"/>
          <w:sz w:val="24"/>
          <w:szCs w:val="24"/>
          <w:lang w:val="es-VE" w:eastAsia="zh-CN" w:bidi="ar-SA"/>
        </w:rPr>
      </w:pPr>
      <w:r>
        <w:rPr/>
      </w:r>
      <m:oMathPara xmlns:m="http://schemas.openxmlformats.org/officeDocument/2006/math">
        <m:oMathParaPr>
          <m:jc m:val="left"/>
        </m:oMathParaPr>
        <m:oMath>
          <m:eqArr>
            <m:e>
              <m:sSub>
                <m:e>
                  <m:r>
                    <w:rPr>
                      <w:rFonts w:ascii="Cambria Math" w:hAnsi="Cambria Math"/>
                    </w:rPr>
                    <m:t xml:space="preserve">R</m:t>
                  </m:r>
                </m:e>
                <m:sub>
                  <m:r>
                    <w:rPr>
                      <w:rFonts w:ascii="Cambria Math" w:hAnsi="Cambria Math"/>
                    </w:rPr>
                    <m:t xml:space="preserve">1</m:t>
                  </m:r>
                </m:sub>
              </m:sSub>
              <m:d>
                <m:dPr>
                  <m:begChr m:val="("/>
                  <m:endChr m:val=")"/>
                </m:dPr>
                <m:e>
                  <m:sSub>
                    <m:e>
                      <m:r>
                        <w:rPr>
                          <w:rFonts w:ascii="Cambria Math" w:hAnsi="Cambria Math"/>
                        </w:rPr>
                        <m:t xml:space="preserve">ω</m:t>
                      </m:r>
                    </m:e>
                    <m:sub>
                      <m:r>
                        <w:rPr>
                          <w:rFonts w:ascii="Cambria Math" w:hAnsi="Cambria Math"/>
                        </w:rPr>
                        <m:t xml:space="preserve">0</m:t>
                      </m:r>
                    </m:sub>
                  </m:sSub>
                </m:e>
              </m:d>
              <m:sSubSup>
                <m:e>
                  <m:r>
                    <m:rPr>
                      <m:lit/>
                      <m:nor/>
                    </m:rPr>
                    <w:rPr>
                      <w:rFonts w:ascii="Cambria Math" w:hAnsi="Cambria Math"/>
                    </w:rPr>
                    <m:t xml:space="preserve">=R</m:t>
                  </m:r>
                </m:e>
                <m:sub>
                  <m:r>
                    <m:rPr>
                      <m:lit/>
                      <m:nor/>
                    </m:rPr>
                    <w:rPr>
                      <w:rFonts w:ascii="Cambria Math" w:hAnsi="Cambria Math"/>
                    </w:rPr>
                    <m:t xml:space="preserve">1w</m:t>
                  </m:r>
                </m:sub>
                <m:sup>
                  <m:r>
                    <m:rPr>
                      <m:lit/>
                      <m:nor/>
                    </m:rPr>
                    <w:rPr>
                      <w:rFonts w:ascii="Cambria Math" w:hAnsi="Cambria Math"/>
                    </w:rPr>
                    <m:t xml:space="preserve">bulk</m:t>
                  </m:r>
                </m:sup>
              </m:sSubSup>
              <m:sSub>
                <m:e>
                  <m:r>
                    <m:rPr>
                      <m:lit/>
                      <m:nor/>
                    </m:rPr>
                    <w:rPr>
                      <w:rFonts w:ascii="Cambria Math" w:hAnsi="Cambria Math"/>
                    </w:rPr>
                    <m:t xml:space="preserve">+α+β</m:t>
                  </m:r>
                </m:e>
                <m:sub>
                  <m:r>
                    <w:rPr>
                      <w:rFonts w:ascii="Cambria Math" w:hAnsi="Cambria Math"/>
                    </w:rPr>
                    <m:t xml:space="preserve">1</m:t>
                  </m:r>
                </m:sub>
              </m:sSub>
              <m:sSub>
                <m:e>
                  <m:r>
                    <w:rPr>
                      <w:rFonts w:ascii="Cambria Math" w:hAnsi="Cambria Math"/>
                    </w:rPr>
                    <m:t xml:space="preserve">τ</m:t>
                  </m:r>
                </m:e>
                <m:sub>
                  <m:r>
                    <w:rPr>
                      <w:rFonts w:ascii="Cambria Math" w:hAnsi="Cambria Math"/>
                    </w:rPr>
                    <m:t xml:space="preserve">C</m:t>
                  </m:r>
                  <m:r>
                    <w:rPr>
                      <w:rFonts w:ascii="Cambria Math" w:hAnsi="Cambria Math"/>
                    </w:rPr>
                    <m:t xml:space="preserve">1</m:t>
                  </m:r>
                </m:sub>
              </m:sSub>
              <m:d>
                <m:dPr>
                  <m:begChr m:val="["/>
                  <m:endChr m:val="]"/>
                </m:dPr>
                <m:e>
                  <m:f>
                    <m:num>
                      <m:r>
                        <w:rPr>
                          <w:rFonts w:ascii="Cambria Math" w:hAnsi="Cambria Math"/>
                        </w:rPr>
                        <m:t xml:space="preserve">0</m:t>
                      </m:r>
                      <m:r>
                        <m:rPr>
                          <m:lit/>
                          <m:nor/>
                        </m:rPr>
                        <w:rPr>
                          <w:rFonts w:ascii="Cambria Math" w:hAnsi="Cambria Math"/>
                        </w:rPr>
                        <m:t xml:space="preserve">.</m:t>
                      </m:r>
                      <m:r>
                        <w:rPr>
                          <w:rFonts w:ascii="Cambria Math" w:hAnsi="Cambria Math"/>
                        </w:rPr>
                        <m:t xml:space="preserve">2</m:t>
                      </m:r>
                    </m:num>
                    <m:den>
                      <m:r>
                        <w:rPr>
                          <w:rFonts w:ascii="Cambria Math" w:hAnsi="Cambria Math"/>
                        </w:rPr>
                        <m:t xml:space="preserve">1</m:t>
                      </m:r>
                      <m:sSubSup>
                        <m:e>
                          <m:r>
                            <m:rPr>
                              <m:lit/>
                              <m:nor/>
                            </m:rP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C</m:t>
                          </m:r>
                          <m:r>
                            <w:rPr>
                              <w:rFonts w:ascii="Cambria Math" w:hAnsi="Cambria Math"/>
                            </w:rPr>
                            <m:t xml:space="preserve">1</m:t>
                          </m:r>
                        </m:sub>
                        <m:sup>
                          <m:r>
                            <w:rPr>
                              <w:rFonts w:ascii="Cambria Math" w:hAnsi="Cambria Math"/>
                            </w:rPr>
                            <m:t xml:space="preserve">2</m:t>
                          </m:r>
                        </m:sup>
                      </m:sSubSup>
                    </m:den>
                  </m:f>
                  <m:r>
                    <w:rPr>
                      <w:rFonts w:ascii="Cambria Math" w:hAnsi="Cambria Math"/>
                    </w:rPr>
                    <m:t xml:space="preserve">+</m:t>
                  </m:r>
                  <m:f>
                    <m:num>
                      <m:r>
                        <w:rPr>
                          <w:rFonts w:ascii="Cambria Math" w:hAnsi="Cambria Math"/>
                        </w:rPr>
                        <m:t xml:space="preserve">0</m:t>
                      </m:r>
                      <m:r>
                        <m:rPr>
                          <m:lit/>
                          <m:nor/>
                        </m:rPr>
                        <w:rPr>
                          <w:rFonts w:ascii="Cambria Math" w:hAnsi="Cambria Math"/>
                        </w:rPr>
                        <m:t xml:space="preserve">.</m:t>
                      </m:r>
                      <m:r>
                        <w:rPr>
                          <w:rFonts w:ascii="Cambria Math" w:hAnsi="Cambria Math"/>
                        </w:rPr>
                        <m:t xml:space="preserve">8</m:t>
                      </m:r>
                    </m:num>
                    <m:den>
                      <m:r>
                        <w:rPr>
                          <w:rFonts w:ascii="Cambria Math" w:hAnsi="Cambria Math"/>
                        </w:rPr>
                        <m:t xml:space="preserve">1</m:t>
                      </m:r>
                      <m:r>
                        <w:rPr>
                          <w:rFonts w:ascii="Cambria Math" w:hAnsi="Cambria Math"/>
                        </w:rPr>
                        <m:t xml:space="preserve">+</m:t>
                      </m:r>
                      <m:r>
                        <w:rPr>
                          <w:rFonts w:ascii="Cambria Math" w:hAnsi="Cambria Math"/>
                        </w:rPr>
                        <m:t xml:space="preserve">4</m:t>
                      </m:r>
                      <m:sSubSup>
                        <m:e>
                          <m: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C</m:t>
                          </m:r>
                          <m:r>
                            <w:rPr>
                              <w:rFonts w:ascii="Cambria Math" w:hAnsi="Cambria Math"/>
                            </w:rPr>
                            <m:t xml:space="preserve">1</m:t>
                          </m:r>
                        </m:sub>
                        <m:sup>
                          <m:r>
                            <w:rPr>
                              <w:rFonts w:ascii="Cambria Math" w:hAnsi="Cambria Math"/>
                            </w:rPr>
                            <m:t xml:space="preserve">2</m:t>
                          </m:r>
                        </m:sup>
                      </m:sSubSup>
                    </m:den>
                  </m:f>
                </m:e>
              </m:d>
              <m:sSub>
                <m:e>
                  <m:r>
                    <m:rPr>
                      <m:lit/>
                      <m:nor/>
                    </m:rPr>
                    <w:rPr>
                      <w:rFonts w:ascii="Cambria Math" w:hAnsi="Cambria Math"/>
                    </w:rPr>
                    <m:t xml:space="preserve">+β</m:t>
                  </m:r>
                </m:e>
                <m:sub>
                  <m:r>
                    <w:rPr>
                      <w:rFonts w:ascii="Cambria Math" w:hAnsi="Cambria Math"/>
                    </w:rPr>
                    <m:t xml:space="preserve">2</m:t>
                  </m:r>
                </m:sub>
              </m:sSub>
              <m:sSub>
                <m:e>
                  <m:r>
                    <w:rPr>
                      <w:rFonts w:ascii="Cambria Math" w:hAnsi="Cambria Math"/>
                    </w:rPr>
                    <m:t xml:space="preserve">τ</m:t>
                  </m:r>
                </m:e>
                <m:sub>
                  <m:r>
                    <w:rPr>
                      <w:rFonts w:ascii="Cambria Math" w:hAnsi="Cambria Math"/>
                    </w:rPr>
                    <m:t xml:space="preserve">C</m:t>
                  </m:r>
                  <m:r>
                    <w:rPr>
                      <w:rFonts w:ascii="Cambria Math" w:hAnsi="Cambria Math"/>
                    </w:rPr>
                    <m:t xml:space="preserve">2</m:t>
                  </m:r>
                </m:sub>
              </m:sSub>
              <m:d>
                <m:dPr>
                  <m:begChr m:val="["/>
                  <m:endChr m:val="]"/>
                </m:dPr>
                <m:e>
                  <m:f>
                    <m:num>
                      <m:r>
                        <w:rPr>
                          <w:rFonts w:ascii="Cambria Math" w:hAnsi="Cambria Math"/>
                        </w:rPr>
                        <m:t xml:space="preserve">0</m:t>
                      </m:r>
                      <m:r>
                        <m:rPr>
                          <m:lit/>
                          <m:nor/>
                        </m:rPr>
                        <w:rPr>
                          <w:rFonts w:ascii="Cambria Math" w:hAnsi="Cambria Math"/>
                        </w:rPr>
                        <m:t xml:space="preserve">.</m:t>
                      </m:r>
                      <m:r>
                        <w:rPr>
                          <w:rFonts w:ascii="Cambria Math" w:hAnsi="Cambria Math"/>
                        </w:rPr>
                        <m:t xml:space="preserve">2</m:t>
                      </m:r>
                    </m:num>
                    <m:den>
                      <m:r>
                        <w:rPr>
                          <w:rFonts w:ascii="Cambria Math" w:hAnsi="Cambria Math"/>
                        </w:rPr>
                        <m:t xml:space="preserve">1</m:t>
                      </m:r>
                      <m:sSubSup>
                        <m:e>
                          <m:r>
                            <m:rPr>
                              <m:lit/>
                              <m:nor/>
                            </m:rP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m:rPr>
                              <m:lit/>
                              <m:nor/>
                            </m:rPr>
                            <w:rPr>
                              <w:rFonts w:ascii="Cambria Math" w:hAnsi="Cambria Math"/>
                            </w:rPr>
                            <m:t xml:space="preserve">21</m:t>
                          </m:r>
                        </m:sub>
                        <m:sup>
                          <m:r>
                            <w:rPr>
                              <w:rFonts w:ascii="Cambria Math" w:hAnsi="Cambria Math"/>
                            </w:rPr>
                            <m:t xml:space="preserve">2</m:t>
                          </m:r>
                        </m:sup>
                      </m:sSubSup>
                    </m:den>
                  </m:f>
                  <m:r>
                    <w:rPr>
                      <w:rFonts w:ascii="Cambria Math" w:hAnsi="Cambria Math"/>
                    </w:rPr>
                    <m:t xml:space="preserve">+</m:t>
                  </m:r>
                  <m:f>
                    <m:num>
                      <m:r>
                        <w:rPr>
                          <w:rFonts w:ascii="Cambria Math" w:hAnsi="Cambria Math"/>
                        </w:rPr>
                        <m:t xml:space="preserve">0</m:t>
                      </m:r>
                      <m:r>
                        <m:rPr>
                          <m:lit/>
                          <m:nor/>
                        </m:rPr>
                        <w:rPr>
                          <w:rFonts w:ascii="Cambria Math" w:hAnsi="Cambria Math"/>
                        </w:rPr>
                        <m:t xml:space="preserve">.</m:t>
                      </m:r>
                      <m:r>
                        <w:rPr>
                          <w:rFonts w:ascii="Cambria Math" w:hAnsi="Cambria Math"/>
                        </w:rPr>
                        <m:t xml:space="preserve">8</m:t>
                      </m:r>
                    </m:num>
                    <m:den>
                      <m:r>
                        <w:rPr>
                          <w:rFonts w:ascii="Cambria Math" w:hAnsi="Cambria Math"/>
                        </w:rPr>
                        <m:t xml:space="preserve">1</m:t>
                      </m:r>
                      <m:r>
                        <w:rPr>
                          <w:rFonts w:ascii="Cambria Math" w:hAnsi="Cambria Math"/>
                        </w:rPr>
                        <m:t xml:space="preserve">+</m:t>
                      </m:r>
                      <m:r>
                        <w:rPr>
                          <w:rFonts w:ascii="Cambria Math" w:hAnsi="Cambria Math"/>
                        </w:rPr>
                        <m:t xml:space="preserve">4</m:t>
                      </m:r>
                      <m:sSubSup>
                        <m:e>
                          <m:r>
                            <w:rPr>
                              <w:rFonts w:ascii="Cambria Math" w:hAnsi="Cambria Math"/>
                            </w:rPr>
                            <m:t xml:space="preserve">ω</m:t>
                          </m:r>
                        </m:e>
                        <m:sub>
                          <m:r>
                            <w:rPr>
                              <w:rFonts w:ascii="Cambria Math" w:hAnsi="Cambria Math"/>
                            </w:rPr>
                            <m:t xml:space="preserve">0</m:t>
                          </m:r>
                        </m:sub>
                        <m:sup>
                          <m:r>
                            <w:rPr>
                              <w:rFonts w:ascii="Cambria Math" w:hAnsi="Cambria Math"/>
                            </w:rPr>
                            <m:t xml:space="preserve">2</m:t>
                          </m:r>
                        </m:sup>
                      </m:sSubSup>
                      <m:sSubSup>
                        <m:e>
                          <m:r>
                            <w:rPr>
                              <w:rFonts w:ascii="Cambria Math" w:hAnsi="Cambria Math"/>
                            </w:rPr>
                            <m:t xml:space="preserve">τ</m:t>
                          </m:r>
                        </m:e>
                        <m:sub>
                          <m:r>
                            <w:rPr>
                              <w:rFonts w:ascii="Cambria Math" w:hAnsi="Cambria Math"/>
                            </w:rPr>
                            <m:t xml:space="preserve">C</m:t>
                          </m:r>
                          <m:r>
                            <w:rPr>
                              <w:rFonts w:ascii="Cambria Math" w:hAnsi="Cambria Math"/>
                            </w:rPr>
                            <m:t xml:space="preserve">2</m:t>
                          </m:r>
                        </m:sub>
                        <m:sup>
                          <m:r>
                            <w:rPr>
                              <w:rFonts w:ascii="Cambria Math" w:hAnsi="Cambria Math"/>
                            </w:rPr>
                            <m:t xml:space="preserve">2</m:t>
                          </m:r>
                        </m:sup>
                      </m:sSubSup>
                    </m:den>
                  </m:f>
                </m:e>
              </m:d>
              <m:d>
                <m:dPr>
                  <m:begChr m:val="("/>
                  <m:endChr m:val=")"/>
                </m:dPr>
                <m:e>
                  <m:r>
                    <w:rPr>
                      <w:rFonts w:ascii="Cambria Math" w:hAnsi="Cambria Math"/>
                    </w:rPr>
                    <m:t xml:space="preserve">3</m:t>
                  </m:r>
                </m:e>
              </m:d>
            </m:e>
          </m:eqArr>
        </m:oMath>
      </m:oMathPara>
    </w:p>
    <w:p>
      <w:pPr>
        <w:pStyle w:val="Ttulo2"/>
        <w:numPr>
          <w:ilvl w:val="0"/>
          <w:numId w:val="0"/>
        </w:numPr>
        <w:ind w:left="0" w:right="0" w:hanging="0"/>
        <w:jc w:val="both"/>
        <w:rPr/>
      </w:pPr>
      <w:r>
        <w:rPr>
          <w:rFonts w:eastAsia="Batang;바탕" w:cs="Times New Roman"/>
          <w:i w:val="false"/>
          <w:iCs w:val="false"/>
          <w:color w:val="auto"/>
          <w:sz w:val="24"/>
          <w:szCs w:val="24"/>
          <w:lang w:val="es-VE" w:eastAsia="zh-CN" w:bidi="ar-SA"/>
        </w:rPr>
        <w:t xml:space="preserve">Aquí los subíndices 1 y 2 se refieren a cada dispersión y </w:t>
      </w:r>
      <w:r>
        <w:rPr/>
      </w:r>
      <m:oMath xmlns:m="http://schemas.openxmlformats.org/officeDocument/2006/math">
        <m:sSub>
          <m:e>
            <m:r>
              <w:rPr>
                <w:rFonts w:ascii="Cambria Math" w:hAnsi="Cambria Math"/>
              </w:rPr>
              <m:t xml:space="preserve">τ</m:t>
            </m:r>
          </m:e>
          <m:sub>
            <m:r>
              <w:rPr>
                <w:rFonts w:ascii="Cambria Math" w:hAnsi="Cambria Math"/>
              </w:rPr>
              <m:t xml:space="preserve">C</m:t>
            </m:r>
          </m:sub>
        </m:sSub>
      </m:oMath>
      <w:r>
        <w:rPr>
          <w:rFonts w:eastAsia="Batang;바탕" w:cs="Times New Roman"/>
          <w:i w:val="false"/>
          <w:iCs w:val="false"/>
          <w:color w:val="auto"/>
          <w:sz w:val="24"/>
          <w:szCs w:val="24"/>
          <w:lang w:val="es-VE" w:eastAsia="zh-CN" w:bidi="ar-SA"/>
        </w:rPr>
        <w:t xml:space="preserve"> es el tiempo de correlación efectivo de la población de agua ligada que provoca la dispersión de la magnitud </w:t>
      </w:r>
      <w:r>
        <w:rPr/>
      </w:r>
      <m:oMath xmlns:m="http://schemas.openxmlformats.org/officeDocument/2006/math">
        <m:r>
          <w:rPr>
            <w:rFonts w:ascii="Cambria Math" w:hAnsi="Cambria Math"/>
          </w:rPr>
          <m:t xml:space="preserve">β</m:t>
        </m:r>
      </m:oMath>
      <w:r>
        <w:rPr>
          <w:rFonts w:eastAsia="Batang;바탕" w:cs="Times New Roman"/>
          <w:i w:val="false"/>
          <w:iCs w:val="false"/>
          <w:color w:val="auto"/>
          <w:sz w:val="24"/>
          <w:szCs w:val="24"/>
          <w:lang w:val="es-VE" w:eastAsia="zh-CN" w:bidi="ar-SA"/>
        </w:rPr>
        <w:t xml:space="preserve">. La Figura 2 muestra los perfiles típicos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i w:val="false"/>
          <w:iCs w:val="false"/>
          <w:color w:val="auto"/>
          <w:sz w:val="24"/>
          <w:szCs w:val="24"/>
          <w:lang w:val="es-VE" w:eastAsia="zh-CN" w:bidi="ar-SA"/>
        </w:rPr>
        <w:t xml:space="preserve"> obtenidos en soluciones de Hb intracelular a 310 K, las cuales fueron ajustadas usando el 3SEM con dos dispersiones (ecuación 3), los parámetros resultantes de estos ajustes aparecen resumidos en la tabla 2.</w:t>
      </w:r>
    </w:p>
    <w:p>
      <w:pPr>
        <w:pStyle w:val="Ttulo2"/>
        <w:numPr>
          <w:ilvl w:val="0"/>
          <w:numId w:val="0"/>
        </w:numPr>
        <w:ind w:left="0" w:right="0" w:hanging="0"/>
        <w:jc w:val="both"/>
        <w:rPr/>
      </w:pPr>
      <w:r>
        <w:rPr/>
        <w:drawing>
          <wp:anchor behindDoc="0" distT="0" distB="0" distL="0" distR="0" simplePos="0" locked="0" layoutInCell="0" allowOverlap="1" relativeHeight="7">
            <wp:simplePos x="0" y="0"/>
            <wp:positionH relativeFrom="column">
              <wp:align>center</wp:align>
            </wp:positionH>
            <wp:positionV relativeFrom="paragraph">
              <wp:posOffset>190500</wp:posOffset>
            </wp:positionV>
            <wp:extent cx="2922905" cy="1948180"/>
            <wp:effectExtent l="0" t="0" r="0" b="0"/>
            <wp:wrapTopAndBottom/>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3"/>
                    <a:srcRect l="-19" t="-28" r="-19" b="-28"/>
                    <a:stretch>
                      <a:fillRect/>
                    </a:stretch>
                  </pic:blipFill>
                  <pic:spPr bwMode="auto">
                    <a:xfrm>
                      <a:off x="0" y="0"/>
                      <a:ext cx="2922905" cy="1948180"/>
                    </a:xfrm>
                    <a:prstGeom prst="rect">
                      <a:avLst/>
                    </a:prstGeom>
                  </pic:spPr>
                </pic:pic>
              </a:graphicData>
            </a:graphic>
          </wp:anchor>
        </w:drawing>
      </w:r>
    </w:p>
    <w:p>
      <w:pPr>
        <w:pStyle w:val="Figura"/>
        <w:suppressAutoHyphens w:val="true"/>
        <w:spacing w:before="120" w:after="120"/>
        <w:ind w:left="0" w:right="0" w:hanging="0"/>
        <w:jc w:val="both"/>
        <w:rPr/>
      </w:pPr>
      <w:r>
        <w:rPr>
          <w:rStyle w:val="Initial10"/>
          <w:b/>
          <w:bCs/>
          <w:lang w:val="es-VE"/>
        </w:rPr>
        <w:t xml:space="preserve">Figura </w:t>
      </w:r>
      <w:r>
        <w:rPr>
          <w:rStyle w:val="Initial10"/>
          <w:b/>
          <w:bCs/>
          <w:lang w:val="es-VE"/>
        </w:rPr>
        <w:fldChar w:fldCharType="begin"/>
      </w:r>
      <w:r>
        <w:rPr>
          <w:rStyle w:val="Initial10"/>
          <w:b/>
          <w:bCs/>
          <w:lang w:val="es-VE"/>
        </w:rPr>
        <w:instrText xml:space="preserve"> SEQ Figura \* ARABIC </w:instrText>
      </w:r>
      <w:r>
        <w:rPr>
          <w:rStyle w:val="Initial10"/>
          <w:b/>
          <w:bCs/>
          <w:lang w:val="es-VE"/>
        </w:rPr>
        <w:fldChar w:fldCharType="separate"/>
      </w:r>
      <w:r>
        <w:rPr>
          <w:rStyle w:val="Initial10"/>
          <w:b/>
          <w:bCs/>
          <w:lang w:val="es-VE"/>
        </w:rPr>
        <w:t>2</w:t>
      </w:r>
      <w:r>
        <w:rPr>
          <w:rStyle w:val="Initial10"/>
          <w:b/>
          <w:bCs/>
          <w:lang w:val="es-VE"/>
        </w:rPr>
        <w:fldChar w:fldCharType="end"/>
      </w:r>
      <w:r>
        <w:rPr>
          <w:rStyle w:val="Initial10"/>
          <w:b/>
          <w:bCs/>
          <w:lang w:val="es-VE"/>
        </w:rPr>
        <w:t>:</w:t>
      </w:r>
      <w:r>
        <w:rPr>
          <w:rStyle w:val="Initial10"/>
          <w:b w:val="false"/>
          <w:bCs w:val="false"/>
          <w:lang w:val="es-VE"/>
        </w:rPr>
        <w:t xml:space="preserve"> Perfil de dispersión típico de 1HMRD para soluciones intraceluláres de Hb a 310 K. Los datos experimentales han sido ajustados mediante los modelos de tres sitios de intercambio con uno y dos términos dispersivos</w:t>
      </w:r>
    </w:p>
    <w:p>
      <w:pPr>
        <w:pStyle w:val="Normal"/>
        <w:suppressAutoHyphens w:val="true"/>
        <w:spacing w:before="300" w:after="100"/>
        <w:ind w:left="0" w:right="0" w:hanging="0"/>
        <w:rPr/>
      </w:pPr>
      <w:r>
        <w:rPr>
          <w:rStyle w:val="Initial10"/>
          <w:b/>
          <w:lang w:val="es-VE"/>
        </w:rPr>
        <w:t>T</w:t>
      </w:r>
      <w:r>
        <w:rPr>
          <w:b/>
          <w:lang w:val="es-VE"/>
        </w:rPr>
        <w:t xml:space="preserve">abla </w:t>
      </w:r>
      <w:r>
        <w:rPr>
          <w:rStyle w:val="Initial10"/>
          <w:b/>
          <w:lang w:val="es-VE"/>
        </w:rPr>
        <w:fldChar w:fldCharType="begin"/>
      </w:r>
      <w:r>
        <w:rPr>
          <w:rStyle w:val="Initial10"/>
          <w:b/>
          <w:lang w:val="es-VE"/>
        </w:rPr>
        <w:instrText xml:space="preserve"> SEQ Tabla \* ARABIC </w:instrText>
      </w:r>
      <w:r>
        <w:rPr>
          <w:rStyle w:val="Initial10"/>
          <w:b/>
          <w:lang w:val="es-VE"/>
        </w:rPr>
        <w:fldChar w:fldCharType="separate"/>
      </w:r>
      <w:r>
        <w:rPr>
          <w:rStyle w:val="Initial10"/>
          <w:b/>
          <w:lang w:val="es-VE"/>
        </w:rPr>
        <w:t>2</w:t>
      </w:r>
      <w:r>
        <w:rPr>
          <w:rStyle w:val="Initial10"/>
          <w:b/>
          <w:lang w:val="es-VE"/>
        </w:rPr>
        <w:fldChar w:fldCharType="end"/>
      </w:r>
      <w:r>
        <w:rPr>
          <w:lang w:val="es-VE"/>
        </w:rPr>
        <w:t>. Par</w:t>
      </w:r>
      <w:r>
        <w:rPr>
          <w:rFonts w:eastAsia="Batang;바탕" w:cs="Times New Roman"/>
          <w:color w:val="auto"/>
          <w:sz w:val="20"/>
          <w:szCs w:val="20"/>
          <w:lang w:val="es-VE" w:eastAsia="zh-CN" w:bidi="ar-SA"/>
        </w:rPr>
        <w:t xml:space="preserve">ámetros obtenidos a partir del ajuste de los datos experimentales del perfil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Batang;바탕" w:cs="Times New Roman"/>
          <w:color w:val="auto"/>
          <w:sz w:val="20"/>
          <w:szCs w:val="20"/>
          <w:lang w:val="es-VE" w:eastAsia="zh-CN" w:bidi="ar-SA"/>
        </w:rPr>
        <w:t xml:space="preserve"> (310K) mediante el 3SEM con dos términos dispersivos en muestras intracelulares de HbA y HbS</w:t>
      </w:r>
    </w:p>
    <w:tbl>
      <w:tblPr>
        <w:tblW w:w="8613" w:type="dxa"/>
        <w:jc w:val="center"/>
        <w:tblInd w:w="0" w:type="dxa"/>
        <w:tblLayout w:type="fixed"/>
        <w:tblCellMar>
          <w:top w:w="11" w:type="dxa"/>
          <w:left w:w="57" w:type="dxa"/>
          <w:bottom w:w="11" w:type="dxa"/>
          <w:right w:w="57" w:type="dxa"/>
        </w:tblCellMar>
      </w:tblPr>
      <w:tblGrid>
        <w:gridCol w:w="1074"/>
        <w:gridCol w:w="1225"/>
        <w:gridCol w:w="1214"/>
        <w:gridCol w:w="1187"/>
        <w:gridCol w:w="1137"/>
        <w:gridCol w:w="1187"/>
        <w:gridCol w:w="1588"/>
      </w:tblGrid>
      <w:tr>
        <w:trPr>
          <w:trHeight w:val="400" w:hRule="atLeast"/>
        </w:trPr>
        <w:tc>
          <w:tcPr>
            <w:tcW w:w="1074" w:type="dxa"/>
            <w:tcBorders>
              <w:top w:val="single" w:sz="4" w:space="0" w:color="000000"/>
              <w:bottom w:val="single" w:sz="4" w:space="0" w:color="000000"/>
            </w:tcBorders>
            <w:vAlign w:val="center"/>
          </w:tcPr>
          <w:p>
            <w:pPr>
              <w:pStyle w:val="Normal"/>
              <w:widowControl w:val="false"/>
              <w:suppressAutoHyphens w:val="true"/>
              <w:rPr>
                <w:lang w:val="es-ES"/>
              </w:rPr>
            </w:pPr>
            <w:r>
              <w:rPr>
                <w:lang w:val="es-ES"/>
              </w:rPr>
              <w:t>Muestra</w:t>
            </w:r>
          </w:p>
        </w:tc>
        <w:tc>
          <w:tcPr>
            <w:tcW w:w="1225"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α (s</w:t>
            </w:r>
            <w:r>
              <w:rPr>
                <w:sz w:val="20"/>
                <w:vertAlign w:val="superscript"/>
                <w:lang w:val="es-ES"/>
              </w:rPr>
              <w:t>−1</w:t>
            </w:r>
            <w:r>
              <w:rPr>
                <w:sz w:val="20"/>
                <w:lang w:val="es-ES"/>
              </w:rPr>
              <w:t>)</w:t>
            </w:r>
          </w:p>
        </w:tc>
        <w:tc>
          <w:tcPr>
            <w:tcW w:w="1214"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β</w:t>
            </w:r>
            <w:r>
              <w:rPr>
                <w:sz w:val="20"/>
                <w:vertAlign w:val="subscript"/>
                <w:lang w:val="es-ES"/>
              </w:rPr>
              <w:t>1</w:t>
            </w:r>
            <w:r>
              <w:rPr>
                <w:sz w:val="20"/>
                <w:lang w:val="es-ES"/>
              </w:rPr>
              <w:t xml:space="preserve"> (10</w:t>
            </w:r>
            <w:r>
              <w:rPr>
                <w:sz w:val="20"/>
                <w:vertAlign w:val="superscript"/>
                <w:lang w:val="es-ES"/>
              </w:rPr>
              <w:t>8</w:t>
            </w:r>
            <w:r>
              <w:rPr>
                <w:sz w:val="20"/>
                <w:lang w:val="es-ES"/>
              </w:rPr>
              <w:t xml:space="preserve"> s</w:t>
            </w:r>
            <w:r>
              <w:rPr>
                <w:sz w:val="20"/>
                <w:vertAlign w:val="superscript"/>
                <w:lang w:val="es-ES"/>
              </w:rPr>
              <w:t>−2</w:t>
            </w:r>
            <w:r>
              <w:rPr>
                <w:sz w:val="20"/>
                <w:lang w:val="es-ES"/>
              </w:rPr>
              <w:t>)</w:t>
            </w:r>
          </w:p>
        </w:tc>
        <w:tc>
          <w:tcPr>
            <w:tcW w:w="1187"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τ</w:t>
            </w:r>
            <w:r>
              <w:rPr>
                <w:sz w:val="20"/>
                <w:vertAlign w:val="subscript"/>
                <w:lang w:val="es-ES"/>
              </w:rPr>
              <w:t>c1</w:t>
            </w:r>
            <w:r>
              <w:rPr>
                <w:sz w:val="20"/>
                <w:lang w:val="es-ES"/>
              </w:rPr>
              <w:t xml:space="preserve"> (ns)</w:t>
            </w:r>
          </w:p>
        </w:tc>
        <w:tc>
          <w:tcPr>
            <w:tcW w:w="1137"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β</w:t>
            </w:r>
            <w:r>
              <w:rPr>
                <w:sz w:val="20"/>
                <w:vertAlign w:val="subscript"/>
                <w:lang w:val="es-ES"/>
              </w:rPr>
              <w:t>2</w:t>
            </w:r>
            <w:r>
              <w:rPr>
                <w:sz w:val="20"/>
                <w:lang w:val="es-ES"/>
              </w:rPr>
              <w:t xml:space="preserve"> (10</w:t>
            </w:r>
            <w:r>
              <w:rPr>
                <w:sz w:val="20"/>
                <w:vertAlign w:val="superscript"/>
                <w:lang w:val="es-ES"/>
              </w:rPr>
              <w:t>8</w:t>
            </w:r>
            <w:r>
              <w:rPr>
                <w:sz w:val="20"/>
                <w:lang w:val="es-ES"/>
              </w:rPr>
              <w:t xml:space="preserve"> s</w:t>
            </w:r>
            <w:r>
              <w:rPr>
                <w:sz w:val="20"/>
                <w:vertAlign w:val="superscript"/>
                <w:lang w:val="es-ES"/>
              </w:rPr>
              <w:t>−2</w:t>
            </w:r>
            <w:r>
              <w:rPr>
                <w:sz w:val="20"/>
                <w:lang w:val="es-ES"/>
              </w:rPr>
              <w:t>)</w:t>
            </w:r>
          </w:p>
        </w:tc>
        <w:tc>
          <w:tcPr>
            <w:tcW w:w="1187"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pPr>
            <w:r>
              <w:rPr>
                <w:sz w:val="20"/>
                <w:lang w:val="es-ES"/>
              </w:rPr>
              <w:t>τ</w:t>
            </w:r>
            <w:r>
              <w:rPr>
                <w:sz w:val="20"/>
                <w:vertAlign w:val="subscript"/>
                <w:lang w:val="es-ES"/>
              </w:rPr>
              <w:t>c2</w:t>
            </w:r>
            <w:r>
              <w:rPr>
                <w:sz w:val="20"/>
                <w:lang w:val="es-ES"/>
              </w:rPr>
              <w:t xml:space="preserve"> (ns)</w:t>
            </w:r>
          </w:p>
        </w:tc>
        <w:tc>
          <w:tcPr>
            <w:tcW w:w="1588" w:type="dxa"/>
            <w:tcBorders>
              <w:top w:val="single" w:sz="4" w:space="0" w:color="000000"/>
              <w:bottom w:val="single" w:sz="4" w:space="0" w:color="000000"/>
            </w:tcBorders>
            <w:vAlign w:val="center"/>
          </w:tcPr>
          <w:p>
            <w:pPr>
              <w:pStyle w:val="Tablehead"/>
              <w:widowControl w:val="false"/>
              <w:suppressAutoHyphens w:val="true"/>
              <w:spacing w:before="20" w:after="20"/>
              <w:contextualSpacing/>
              <w:jc w:val="both"/>
              <w:rPr>
                <w:sz w:val="20"/>
                <w:lang w:val="es-ES"/>
              </w:rPr>
            </w:pPr>
            <w:r>
              <w:rPr>
                <w:sz w:val="20"/>
                <w:lang w:val="es-ES"/>
              </w:rPr>
              <w:t>Adjusted r square</w:t>
            </w:r>
          </w:p>
        </w:tc>
      </w:tr>
      <w:tr>
        <w:trPr>
          <w:trHeight w:val="228" w:hRule="atLeast"/>
        </w:trPr>
        <w:tc>
          <w:tcPr>
            <w:tcW w:w="1074" w:type="dxa"/>
            <w:tcBorders>
              <w:top w:val="single" w:sz="4" w:space="0" w:color="000000"/>
            </w:tcBorders>
            <w:vAlign w:val="center"/>
          </w:tcPr>
          <w:p>
            <w:pPr>
              <w:pStyle w:val="Tabletext"/>
              <w:widowControl w:val="false"/>
              <w:suppressAutoHyphens w:val="true"/>
              <w:jc w:val="both"/>
              <w:rPr>
                <w:sz w:val="20"/>
                <w:lang w:val="es-ES"/>
              </w:rPr>
            </w:pPr>
            <w:r>
              <w:rPr>
                <w:sz w:val="20"/>
                <w:lang w:val="es-ES"/>
              </w:rPr>
              <w:t>HbA-1</w:t>
            </w:r>
          </w:p>
        </w:tc>
        <w:tc>
          <w:tcPr>
            <w:tcW w:w="1225" w:type="dxa"/>
            <w:tcBorders>
              <w:top w:val="single" w:sz="4" w:space="0" w:color="000000"/>
            </w:tcBorders>
            <w:vAlign w:val="center"/>
          </w:tcPr>
          <w:p>
            <w:pPr>
              <w:pStyle w:val="Tabletext"/>
              <w:widowControl w:val="false"/>
              <w:suppressAutoHyphens w:val="true"/>
              <w:jc w:val="both"/>
              <w:rPr>
                <w:sz w:val="20"/>
                <w:lang w:val="es-ES"/>
              </w:rPr>
            </w:pPr>
            <w:r>
              <w:rPr>
                <w:sz w:val="20"/>
                <w:lang w:val="es-ES"/>
              </w:rPr>
              <w:t>1.32 ± 0.02</w:t>
            </w:r>
          </w:p>
        </w:tc>
        <w:tc>
          <w:tcPr>
            <w:tcW w:w="1214" w:type="dxa"/>
            <w:tcBorders>
              <w:top w:val="single" w:sz="4" w:space="0" w:color="000000"/>
            </w:tcBorders>
            <w:vAlign w:val="center"/>
          </w:tcPr>
          <w:p>
            <w:pPr>
              <w:pStyle w:val="Tabletext"/>
              <w:widowControl w:val="false"/>
              <w:suppressAutoHyphens w:val="true"/>
              <w:jc w:val="both"/>
              <w:rPr>
                <w:sz w:val="20"/>
                <w:lang w:val="es-ES"/>
              </w:rPr>
            </w:pPr>
            <w:r>
              <w:rPr>
                <w:sz w:val="20"/>
                <w:lang w:val="es-ES"/>
              </w:rPr>
              <w:t>0.32 ± 0.03</w:t>
            </w:r>
          </w:p>
        </w:tc>
        <w:tc>
          <w:tcPr>
            <w:tcW w:w="1187" w:type="dxa"/>
            <w:tcBorders>
              <w:top w:val="single" w:sz="4" w:space="0" w:color="000000"/>
            </w:tcBorders>
            <w:vAlign w:val="center"/>
          </w:tcPr>
          <w:p>
            <w:pPr>
              <w:pStyle w:val="Tabletext"/>
              <w:widowControl w:val="false"/>
              <w:suppressAutoHyphens w:val="true"/>
              <w:jc w:val="both"/>
              <w:rPr>
                <w:sz w:val="20"/>
                <w:lang w:val="es-ES"/>
              </w:rPr>
            </w:pPr>
            <w:r>
              <w:rPr>
                <w:sz w:val="20"/>
                <w:lang w:val="es-ES"/>
              </w:rPr>
              <w:t>156.3 ± 9.3</w:t>
            </w:r>
          </w:p>
        </w:tc>
        <w:tc>
          <w:tcPr>
            <w:tcW w:w="1137" w:type="dxa"/>
            <w:tcBorders>
              <w:top w:val="single" w:sz="4" w:space="0" w:color="000000"/>
            </w:tcBorders>
            <w:vAlign w:val="center"/>
          </w:tcPr>
          <w:p>
            <w:pPr>
              <w:pStyle w:val="Tabletext"/>
              <w:widowControl w:val="false"/>
              <w:suppressAutoHyphens w:val="true"/>
              <w:jc w:val="both"/>
              <w:rPr>
                <w:sz w:val="20"/>
                <w:lang w:val="es-ES"/>
              </w:rPr>
            </w:pPr>
            <w:r>
              <w:rPr>
                <w:sz w:val="20"/>
                <w:lang w:val="es-ES"/>
              </w:rPr>
              <w:t>2.38 ± 0.14</w:t>
            </w:r>
          </w:p>
        </w:tc>
        <w:tc>
          <w:tcPr>
            <w:tcW w:w="1187" w:type="dxa"/>
            <w:tcBorders>
              <w:top w:val="single" w:sz="4" w:space="0" w:color="000000"/>
            </w:tcBorders>
            <w:vAlign w:val="center"/>
          </w:tcPr>
          <w:p>
            <w:pPr>
              <w:pStyle w:val="Tabletext"/>
              <w:widowControl w:val="false"/>
              <w:suppressAutoHyphens w:val="true"/>
              <w:jc w:val="both"/>
              <w:rPr>
                <w:sz w:val="20"/>
                <w:lang w:val="es-ES"/>
              </w:rPr>
            </w:pPr>
            <w:r>
              <w:rPr>
                <w:sz w:val="20"/>
                <w:lang w:val="es-ES"/>
              </w:rPr>
              <w:t>13.5 ± 0.9</w:t>
            </w:r>
          </w:p>
        </w:tc>
        <w:tc>
          <w:tcPr>
            <w:tcW w:w="1588" w:type="dxa"/>
            <w:tcBorders>
              <w:top w:val="single" w:sz="4" w:space="0" w:color="000000"/>
            </w:tcBorders>
            <w:vAlign w:val="center"/>
          </w:tcPr>
          <w:p>
            <w:pPr>
              <w:pStyle w:val="Tabletext"/>
              <w:widowControl w:val="false"/>
              <w:suppressAutoHyphens w:val="true"/>
              <w:jc w:val="both"/>
              <w:rPr>
                <w:sz w:val="20"/>
                <w:lang w:val="es-ES"/>
              </w:rPr>
            </w:pPr>
            <w:r>
              <w:rPr>
                <w:sz w:val="20"/>
                <w:lang w:val="es-ES"/>
              </w:rPr>
              <w:t>0.99 ± 0.001</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HbA-2</w:t>
            </w:r>
          </w:p>
        </w:tc>
        <w:tc>
          <w:tcPr>
            <w:tcW w:w="1225" w:type="dxa"/>
            <w:tcBorders/>
            <w:vAlign w:val="center"/>
          </w:tcPr>
          <w:p>
            <w:pPr>
              <w:pStyle w:val="Tabletext"/>
              <w:widowControl w:val="false"/>
              <w:suppressAutoHyphens w:val="true"/>
              <w:jc w:val="both"/>
              <w:rPr>
                <w:sz w:val="20"/>
                <w:lang w:val="es-ES"/>
              </w:rPr>
            </w:pPr>
            <w:r>
              <w:rPr>
                <w:sz w:val="20"/>
                <w:lang w:val="es-ES"/>
              </w:rPr>
              <w:t>1.89 ± 0.07</w:t>
            </w:r>
          </w:p>
        </w:tc>
        <w:tc>
          <w:tcPr>
            <w:tcW w:w="1214" w:type="dxa"/>
            <w:tcBorders/>
            <w:vAlign w:val="center"/>
          </w:tcPr>
          <w:p>
            <w:pPr>
              <w:pStyle w:val="Tabletext"/>
              <w:widowControl w:val="false"/>
              <w:suppressAutoHyphens w:val="true"/>
              <w:jc w:val="both"/>
              <w:rPr>
                <w:sz w:val="20"/>
                <w:lang w:val="es-ES"/>
              </w:rPr>
            </w:pPr>
            <w:r>
              <w:rPr>
                <w:sz w:val="20"/>
                <w:lang w:val="es-ES"/>
              </w:rPr>
              <w:t>0.24 ± 0.04</w:t>
            </w:r>
          </w:p>
        </w:tc>
        <w:tc>
          <w:tcPr>
            <w:tcW w:w="1187" w:type="dxa"/>
            <w:tcBorders/>
            <w:vAlign w:val="center"/>
          </w:tcPr>
          <w:p>
            <w:pPr>
              <w:pStyle w:val="Tabletext"/>
              <w:widowControl w:val="false"/>
              <w:suppressAutoHyphens w:val="true"/>
              <w:jc w:val="both"/>
              <w:rPr>
                <w:sz w:val="20"/>
                <w:lang w:val="es-ES"/>
              </w:rPr>
            </w:pPr>
            <w:r>
              <w:rPr>
                <w:sz w:val="20"/>
                <w:lang w:val="es-ES"/>
              </w:rPr>
              <w:t>141.2 ± 28.5</w:t>
            </w:r>
          </w:p>
        </w:tc>
        <w:tc>
          <w:tcPr>
            <w:tcW w:w="1137" w:type="dxa"/>
            <w:tcBorders/>
            <w:vAlign w:val="center"/>
          </w:tcPr>
          <w:p>
            <w:pPr>
              <w:pStyle w:val="Tabletext"/>
              <w:widowControl w:val="false"/>
              <w:suppressAutoHyphens w:val="true"/>
              <w:jc w:val="both"/>
              <w:rPr>
                <w:sz w:val="20"/>
                <w:lang w:val="es-ES"/>
              </w:rPr>
            </w:pPr>
            <w:r>
              <w:rPr>
                <w:sz w:val="20"/>
                <w:lang w:val="es-ES"/>
              </w:rPr>
              <w:t>2.17 ± 0.39</w:t>
            </w:r>
          </w:p>
        </w:tc>
        <w:tc>
          <w:tcPr>
            <w:tcW w:w="1187" w:type="dxa"/>
            <w:tcBorders/>
            <w:vAlign w:val="center"/>
          </w:tcPr>
          <w:p>
            <w:pPr>
              <w:pStyle w:val="Tabletext"/>
              <w:widowControl w:val="false"/>
              <w:suppressAutoHyphens w:val="true"/>
              <w:jc w:val="both"/>
              <w:rPr>
                <w:sz w:val="20"/>
                <w:lang w:val="es-ES"/>
              </w:rPr>
            </w:pPr>
            <w:r>
              <w:rPr>
                <w:sz w:val="20"/>
                <w:lang w:val="es-ES"/>
              </w:rPr>
              <w:t>14.6 ± 3.3</w:t>
            </w:r>
          </w:p>
        </w:tc>
        <w:tc>
          <w:tcPr>
            <w:tcW w:w="1588" w:type="dxa"/>
            <w:tcBorders/>
            <w:vAlign w:val="center"/>
          </w:tcPr>
          <w:p>
            <w:pPr>
              <w:pStyle w:val="Tabletext"/>
              <w:widowControl w:val="false"/>
              <w:suppressAutoHyphens w:val="true"/>
              <w:jc w:val="both"/>
              <w:rPr>
                <w:sz w:val="20"/>
                <w:lang w:val="es-ES"/>
              </w:rPr>
            </w:pPr>
            <w:r>
              <w:rPr>
                <w:sz w:val="20"/>
                <w:lang w:val="es-ES"/>
              </w:rPr>
              <w:t>0.99 ± 0.002</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HbA-3</w:t>
            </w:r>
          </w:p>
        </w:tc>
        <w:tc>
          <w:tcPr>
            <w:tcW w:w="1225" w:type="dxa"/>
            <w:tcBorders/>
            <w:vAlign w:val="center"/>
          </w:tcPr>
          <w:p>
            <w:pPr>
              <w:pStyle w:val="Tabletext"/>
              <w:widowControl w:val="false"/>
              <w:suppressAutoHyphens w:val="true"/>
              <w:jc w:val="both"/>
              <w:rPr>
                <w:sz w:val="20"/>
                <w:lang w:val="es-ES"/>
              </w:rPr>
            </w:pPr>
            <w:r>
              <w:rPr>
                <w:sz w:val="20"/>
                <w:lang w:val="es-ES"/>
              </w:rPr>
              <w:t>4.24 ± 0.04</w:t>
            </w:r>
          </w:p>
        </w:tc>
        <w:tc>
          <w:tcPr>
            <w:tcW w:w="1214" w:type="dxa"/>
            <w:tcBorders/>
            <w:vAlign w:val="center"/>
          </w:tcPr>
          <w:p>
            <w:pPr>
              <w:pStyle w:val="Tabletext"/>
              <w:widowControl w:val="false"/>
              <w:suppressAutoHyphens w:val="true"/>
              <w:jc w:val="both"/>
              <w:rPr>
                <w:sz w:val="20"/>
                <w:lang w:val="es-ES"/>
              </w:rPr>
            </w:pPr>
            <w:r>
              <w:rPr>
                <w:sz w:val="20"/>
                <w:lang w:val="es-ES"/>
              </w:rPr>
              <w:t>0.33 ± 0.02</w:t>
            </w:r>
          </w:p>
        </w:tc>
        <w:tc>
          <w:tcPr>
            <w:tcW w:w="1187" w:type="dxa"/>
            <w:tcBorders/>
            <w:vAlign w:val="center"/>
          </w:tcPr>
          <w:p>
            <w:pPr>
              <w:pStyle w:val="Tabletext"/>
              <w:widowControl w:val="false"/>
              <w:suppressAutoHyphens w:val="true"/>
              <w:jc w:val="both"/>
              <w:rPr>
                <w:sz w:val="20"/>
                <w:lang w:val="es-ES"/>
              </w:rPr>
            </w:pPr>
            <w:r>
              <w:rPr>
                <w:sz w:val="20"/>
                <w:lang w:val="es-ES"/>
              </w:rPr>
              <w:t>171.5 ± 9.0</w:t>
            </w:r>
          </w:p>
        </w:tc>
        <w:tc>
          <w:tcPr>
            <w:tcW w:w="1137" w:type="dxa"/>
            <w:tcBorders/>
            <w:vAlign w:val="center"/>
          </w:tcPr>
          <w:p>
            <w:pPr>
              <w:pStyle w:val="Tabletext"/>
              <w:widowControl w:val="false"/>
              <w:suppressAutoHyphens w:val="true"/>
              <w:jc w:val="both"/>
              <w:rPr>
                <w:sz w:val="20"/>
                <w:lang w:val="es-ES"/>
              </w:rPr>
            </w:pPr>
            <w:r>
              <w:rPr>
                <w:sz w:val="20"/>
                <w:lang w:val="es-ES"/>
              </w:rPr>
              <w:t>3.75 ± 0.15</w:t>
            </w:r>
          </w:p>
        </w:tc>
        <w:tc>
          <w:tcPr>
            <w:tcW w:w="1187" w:type="dxa"/>
            <w:tcBorders/>
            <w:vAlign w:val="center"/>
          </w:tcPr>
          <w:p>
            <w:pPr>
              <w:pStyle w:val="Tabletext"/>
              <w:widowControl w:val="false"/>
              <w:suppressAutoHyphens w:val="true"/>
              <w:jc w:val="both"/>
              <w:rPr>
                <w:sz w:val="20"/>
                <w:lang w:val="es-ES"/>
              </w:rPr>
            </w:pPr>
            <w:r>
              <w:rPr>
                <w:sz w:val="20"/>
                <w:lang w:val="es-ES"/>
              </w:rPr>
              <w:t>12.3 ± 0.5</w:t>
            </w:r>
          </w:p>
        </w:tc>
        <w:tc>
          <w:tcPr>
            <w:tcW w:w="1588" w:type="dxa"/>
            <w:tcBorders/>
            <w:vAlign w:val="center"/>
          </w:tcPr>
          <w:p>
            <w:pPr>
              <w:pStyle w:val="Tabletext"/>
              <w:widowControl w:val="false"/>
              <w:suppressAutoHyphens w:val="true"/>
              <w:jc w:val="both"/>
              <w:rPr>
                <w:sz w:val="20"/>
                <w:lang w:val="es-ES"/>
              </w:rPr>
            </w:pPr>
            <w:r>
              <w:rPr>
                <w:sz w:val="20"/>
                <w:lang w:val="es-ES"/>
              </w:rPr>
              <w:t>0.98 ± 0.004</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HbA-4</w:t>
            </w:r>
          </w:p>
        </w:tc>
        <w:tc>
          <w:tcPr>
            <w:tcW w:w="1225" w:type="dxa"/>
            <w:tcBorders/>
            <w:vAlign w:val="center"/>
          </w:tcPr>
          <w:p>
            <w:pPr>
              <w:pStyle w:val="Tabletext"/>
              <w:widowControl w:val="false"/>
              <w:suppressAutoHyphens w:val="true"/>
              <w:jc w:val="both"/>
              <w:rPr>
                <w:sz w:val="20"/>
                <w:lang w:val="es-ES"/>
              </w:rPr>
            </w:pPr>
            <w:r>
              <w:rPr>
                <w:sz w:val="20"/>
                <w:lang w:val="es-ES"/>
              </w:rPr>
              <w:t>2.85 ± 0.03</w:t>
            </w:r>
          </w:p>
        </w:tc>
        <w:tc>
          <w:tcPr>
            <w:tcW w:w="1214" w:type="dxa"/>
            <w:tcBorders/>
            <w:vAlign w:val="center"/>
          </w:tcPr>
          <w:p>
            <w:pPr>
              <w:pStyle w:val="Tabletext"/>
              <w:widowControl w:val="false"/>
              <w:suppressAutoHyphens w:val="true"/>
              <w:jc w:val="both"/>
              <w:rPr>
                <w:sz w:val="20"/>
                <w:lang w:val="es-ES"/>
              </w:rPr>
            </w:pPr>
            <w:r>
              <w:rPr>
                <w:sz w:val="20"/>
                <w:lang w:val="es-ES"/>
              </w:rPr>
              <w:t>0.28 ± 0.04</w:t>
            </w:r>
          </w:p>
        </w:tc>
        <w:tc>
          <w:tcPr>
            <w:tcW w:w="1187" w:type="dxa"/>
            <w:tcBorders/>
            <w:vAlign w:val="center"/>
          </w:tcPr>
          <w:p>
            <w:pPr>
              <w:pStyle w:val="Tabletext"/>
              <w:widowControl w:val="false"/>
              <w:suppressAutoHyphens w:val="true"/>
              <w:jc w:val="both"/>
              <w:rPr>
                <w:sz w:val="20"/>
                <w:lang w:val="es-ES"/>
              </w:rPr>
            </w:pPr>
            <w:r>
              <w:rPr>
                <w:sz w:val="20"/>
                <w:lang w:val="es-ES"/>
              </w:rPr>
              <w:t>167.1 ± 15.0</w:t>
            </w:r>
          </w:p>
        </w:tc>
        <w:tc>
          <w:tcPr>
            <w:tcW w:w="1137" w:type="dxa"/>
            <w:tcBorders/>
            <w:vAlign w:val="center"/>
          </w:tcPr>
          <w:p>
            <w:pPr>
              <w:pStyle w:val="Tabletext"/>
              <w:widowControl w:val="false"/>
              <w:suppressAutoHyphens w:val="true"/>
              <w:jc w:val="both"/>
              <w:rPr>
                <w:sz w:val="20"/>
                <w:lang w:val="es-ES"/>
              </w:rPr>
            </w:pPr>
            <w:r>
              <w:rPr>
                <w:sz w:val="20"/>
                <w:lang w:val="es-ES"/>
              </w:rPr>
              <w:t>2.96 ± 0.43</w:t>
            </w:r>
          </w:p>
        </w:tc>
        <w:tc>
          <w:tcPr>
            <w:tcW w:w="1187" w:type="dxa"/>
            <w:tcBorders/>
            <w:vAlign w:val="center"/>
          </w:tcPr>
          <w:p>
            <w:pPr>
              <w:pStyle w:val="Tabletext"/>
              <w:widowControl w:val="false"/>
              <w:suppressAutoHyphens w:val="true"/>
              <w:jc w:val="both"/>
              <w:rPr>
                <w:sz w:val="20"/>
              </w:rPr>
            </w:pPr>
            <w:r>
              <w:rPr>
                <w:sz w:val="20"/>
              </w:rPr>
              <w:t>12.2 ± 1.2</w:t>
            </w:r>
          </w:p>
        </w:tc>
        <w:tc>
          <w:tcPr>
            <w:tcW w:w="1588" w:type="dxa"/>
            <w:tcBorders/>
            <w:vAlign w:val="center"/>
          </w:tcPr>
          <w:p>
            <w:pPr>
              <w:pStyle w:val="Tabletext"/>
              <w:widowControl w:val="false"/>
              <w:suppressAutoHyphens w:val="true"/>
              <w:jc w:val="both"/>
              <w:rPr>
                <w:sz w:val="20"/>
                <w:lang w:val="es-ES"/>
              </w:rPr>
            </w:pPr>
            <w:r>
              <w:rPr>
                <w:sz w:val="20"/>
                <w:lang w:val="es-ES"/>
              </w:rPr>
              <w:t>0.98 ± 0.006</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HbA-5</w:t>
            </w:r>
          </w:p>
        </w:tc>
        <w:tc>
          <w:tcPr>
            <w:tcW w:w="1225" w:type="dxa"/>
            <w:tcBorders/>
            <w:vAlign w:val="center"/>
          </w:tcPr>
          <w:p>
            <w:pPr>
              <w:pStyle w:val="Tabletext"/>
              <w:widowControl w:val="false"/>
              <w:suppressAutoHyphens w:val="true"/>
              <w:jc w:val="both"/>
              <w:rPr>
                <w:sz w:val="20"/>
              </w:rPr>
            </w:pPr>
            <w:r>
              <w:rPr>
                <w:sz w:val="20"/>
              </w:rPr>
              <w:t>3.40 ± 0.03</w:t>
            </w:r>
          </w:p>
        </w:tc>
        <w:tc>
          <w:tcPr>
            <w:tcW w:w="1214" w:type="dxa"/>
            <w:tcBorders/>
            <w:vAlign w:val="center"/>
          </w:tcPr>
          <w:p>
            <w:pPr>
              <w:pStyle w:val="Tabletext"/>
              <w:widowControl w:val="false"/>
              <w:suppressAutoHyphens w:val="true"/>
              <w:jc w:val="both"/>
              <w:rPr>
                <w:sz w:val="20"/>
              </w:rPr>
            </w:pPr>
            <w:r>
              <w:rPr>
                <w:sz w:val="20"/>
              </w:rPr>
              <w:t>0.30 ± 0.03</w:t>
            </w:r>
          </w:p>
        </w:tc>
        <w:tc>
          <w:tcPr>
            <w:tcW w:w="1187" w:type="dxa"/>
            <w:tcBorders/>
            <w:vAlign w:val="center"/>
          </w:tcPr>
          <w:p>
            <w:pPr>
              <w:pStyle w:val="Tabletext"/>
              <w:widowControl w:val="false"/>
              <w:suppressAutoHyphens w:val="true"/>
              <w:jc w:val="both"/>
              <w:rPr>
                <w:sz w:val="20"/>
              </w:rPr>
            </w:pPr>
            <w:r>
              <w:rPr>
                <w:sz w:val="20"/>
              </w:rPr>
              <w:t>193.0 ± 14.0</w:t>
            </w:r>
          </w:p>
        </w:tc>
        <w:tc>
          <w:tcPr>
            <w:tcW w:w="1137" w:type="dxa"/>
            <w:tcBorders/>
            <w:vAlign w:val="center"/>
          </w:tcPr>
          <w:p>
            <w:pPr>
              <w:pStyle w:val="Tabletext"/>
              <w:widowControl w:val="false"/>
              <w:suppressAutoHyphens w:val="true"/>
              <w:jc w:val="both"/>
              <w:rPr>
                <w:sz w:val="20"/>
              </w:rPr>
            </w:pPr>
            <w:r>
              <w:rPr>
                <w:sz w:val="20"/>
              </w:rPr>
              <w:t>4.18 ± 0.35</w:t>
            </w:r>
          </w:p>
        </w:tc>
        <w:tc>
          <w:tcPr>
            <w:tcW w:w="1187" w:type="dxa"/>
            <w:tcBorders/>
            <w:vAlign w:val="center"/>
          </w:tcPr>
          <w:p>
            <w:pPr>
              <w:pStyle w:val="Tabletext"/>
              <w:widowControl w:val="false"/>
              <w:suppressAutoHyphens w:val="true"/>
              <w:jc w:val="both"/>
              <w:rPr>
                <w:sz w:val="20"/>
              </w:rPr>
            </w:pPr>
            <w:r>
              <w:rPr>
                <w:sz w:val="20"/>
              </w:rPr>
              <w:t>11.0 ± 0.8</w:t>
            </w:r>
          </w:p>
        </w:tc>
        <w:tc>
          <w:tcPr>
            <w:tcW w:w="1588" w:type="dxa"/>
            <w:tcBorders/>
            <w:vAlign w:val="center"/>
          </w:tcPr>
          <w:p>
            <w:pPr>
              <w:pStyle w:val="Tabletext"/>
              <w:widowControl w:val="false"/>
              <w:suppressAutoHyphens w:val="true"/>
              <w:jc w:val="both"/>
              <w:rPr>
                <w:sz w:val="20"/>
              </w:rPr>
            </w:pPr>
            <w:r>
              <w:rPr>
                <w:sz w:val="20"/>
              </w:rPr>
              <w:t>0.98 ± 0.004</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HbA-6</w:t>
            </w:r>
          </w:p>
        </w:tc>
        <w:tc>
          <w:tcPr>
            <w:tcW w:w="1225" w:type="dxa"/>
            <w:tcBorders/>
            <w:vAlign w:val="center"/>
          </w:tcPr>
          <w:p>
            <w:pPr>
              <w:pStyle w:val="Tabletext"/>
              <w:widowControl w:val="false"/>
              <w:suppressAutoHyphens w:val="true"/>
              <w:jc w:val="both"/>
              <w:rPr>
                <w:sz w:val="20"/>
              </w:rPr>
            </w:pPr>
            <w:r>
              <w:rPr>
                <w:sz w:val="20"/>
              </w:rPr>
              <w:t>3.90 ± 0.07</w:t>
            </w:r>
          </w:p>
        </w:tc>
        <w:tc>
          <w:tcPr>
            <w:tcW w:w="1214" w:type="dxa"/>
            <w:tcBorders/>
            <w:vAlign w:val="center"/>
          </w:tcPr>
          <w:p>
            <w:pPr>
              <w:pStyle w:val="Tabletext"/>
              <w:widowControl w:val="false"/>
              <w:suppressAutoHyphens w:val="true"/>
              <w:jc w:val="both"/>
              <w:rPr>
                <w:sz w:val="20"/>
              </w:rPr>
            </w:pPr>
            <w:r>
              <w:rPr>
                <w:sz w:val="20"/>
              </w:rPr>
              <w:t>0.22 ± 0.03</w:t>
            </w:r>
          </w:p>
        </w:tc>
        <w:tc>
          <w:tcPr>
            <w:tcW w:w="1187" w:type="dxa"/>
            <w:tcBorders/>
            <w:vAlign w:val="center"/>
          </w:tcPr>
          <w:p>
            <w:pPr>
              <w:pStyle w:val="Tabletext"/>
              <w:widowControl w:val="false"/>
              <w:suppressAutoHyphens w:val="true"/>
              <w:jc w:val="both"/>
              <w:rPr>
                <w:sz w:val="20"/>
              </w:rPr>
            </w:pPr>
            <w:r>
              <w:rPr>
                <w:sz w:val="20"/>
              </w:rPr>
              <w:t>230.0 ± 33.1</w:t>
            </w:r>
          </w:p>
        </w:tc>
        <w:tc>
          <w:tcPr>
            <w:tcW w:w="1137" w:type="dxa"/>
            <w:tcBorders/>
            <w:vAlign w:val="center"/>
          </w:tcPr>
          <w:p>
            <w:pPr>
              <w:pStyle w:val="Tabletext"/>
              <w:widowControl w:val="false"/>
              <w:suppressAutoHyphens w:val="true"/>
              <w:jc w:val="both"/>
              <w:rPr>
                <w:sz w:val="20"/>
              </w:rPr>
            </w:pPr>
            <w:r>
              <w:rPr>
                <w:sz w:val="20"/>
              </w:rPr>
              <w:t>3.03 ± 0.17</w:t>
            </w:r>
          </w:p>
        </w:tc>
        <w:tc>
          <w:tcPr>
            <w:tcW w:w="1187" w:type="dxa"/>
            <w:tcBorders/>
            <w:vAlign w:val="center"/>
          </w:tcPr>
          <w:p>
            <w:pPr>
              <w:pStyle w:val="Tabletext"/>
              <w:widowControl w:val="false"/>
              <w:suppressAutoHyphens w:val="true"/>
              <w:jc w:val="both"/>
              <w:rPr>
                <w:sz w:val="20"/>
              </w:rPr>
            </w:pPr>
            <w:r>
              <w:rPr>
                <w:sz w:val="20"/>
              </w:rPr>
              <w:t>14.1 ± 1.0</w:t>
            </w:r>
          </w:p>
        </w:tc>
        <w:tc>
          <w:tcPr>
            <w:tcW w:w="1588" w:type="dxa"/>
            <w:tcBorders/>
            <w:vAlign w:val="center"/>
          </w:tcPr>
          <w:p>
            <w:pPr>
              <w:pStyle w:val="Tabletext"/>
              <w:widowControl w:val="false"/>
              <w:suppressAutoHyphens w:val="true"/>
              <w:jc w:val="both"/>
              <w:rPr>
                <w:sz w:val="20"/>
              </w:rPr>
            </w:pPr>
            <w:r>
              <w:rPr>
                <w:sz w:val="20"/>
              </w:rPr>
              <w:t>0.98 ± 0.004</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HbA-7</w:t>
            </w:r>
          </w:p>
        </w:tc>
        <w:tc>
          <w:tcPr>
            <w:tcW w:w="1225" w:type="dxa"/>
            <w:tcBorders/>
            <w:vAlign w:val="center"/>
          </w:tcPr>
          <w:p>
            <w:pPr>
              <w:pStyle w:val="Tabletext"/>
              <w:widowControl w:val="false"/>
              <w:suppressAutoHyphens w:val="true"/>
              <w:jc w:val="both"/>
              <w:rPr>
                <w:sz w:val="20"/>
              </w:rPr>
            </w:pPr>
            <w:r>
              <w:rPr>
                <w:sz w:val="20"/>
              </w:rPr>
              <w:t>4.44 ± 0.07</w:t>
            </w:r>
          </w:p>
        </w:tc>
        <w:tc>
          <w:tcPr>
            <w:tcW w:w="1214" w:type="dxa"/>
            <w:tcBorders/>
            <w:vAlign w:val="center"/>
          </w:tcPr>
          <w:p>
            <w:pPr>
              <w:pStyle w:val="Tabletext"/>
              <w:widowControl w:val="false"/>
              <w:suppressAutoHyphens w:val="true"/>
              <w:jc w:val="both"/>
              <w:rPr>
                <w:sz w:val="20"/>
              </w:rPr>
            </w:pPr>
            <w:r>
              <w:rPr>
                <w:sz w:val="20"/>
              </w:rPr>
              <w:t>0.4 ± 0.04</w:t>
            </w:r>
          </w:p>
        </w:tc>
        <w:tc>
          <w:tcPr>
            <w:tcW w:w="1187" w:type="dxa"/>
            <w:tcBorders/>
            <w:vAlign w:val="center"/>
          </w:tcPr>
          <w:p>
            <w:pPr>
              <w:pStyle w:val="Tabletext"/>
              <w:widowControl w:val="false"/>
              <w:suppressAutoHyphens w:val="true"/>
              <w:jc w:val="both"/>
              <w:rPr>
                <w:sz w:val="20"/>
              </w:rPr>
            </w:pPr>
            <w:r>
              <w:rPr>
                <w:sz w:val="20"/>
              </w:rPr>
              <w:t>180.5 ± 10.1</w:t>
            </w:r>
          </w:p>
        </w:tc>
        <w:tc>
          <w:tcPr>
            <w:tcW w:w="1137" w:type="dxa"/>
            <w:tcBorders/>
            <w:vAlign w:val="center"/>
          </w:tcPr>
          <w:p>
            <w:pPr>
              <w:pStyle w:val="Tabletext"/>
              <w:widowControl w:val="false"/>
              <w:suppressAutoHyphens w:val="true"/>
              <w:jc w:val="both"/>
              <w:rPr>
                <w:sz w:val="20"/>
              </w:rPr>
            </w:pPr>
            <w:r>
              <w:rPr>
                <w:sz w:val="20"/>
              </w:rPr>
              <w:t>3.39 ± 0.36</w:t>
            </w:r>
          </w:p>
        </w:tc>
        <w:tc>
          <w:tcPr>
            <w:tcW w:w="1187" w:type="dxa"/>
            <w:tcBorders/>
            <w:vAlign w:val="center"/>
          </w:tcPr>
          <w:p>
            <w:pPr>
              <w:pStyle w:val="Tabletext"/>
              <w:widowControl w:val="false"/>
              <w:suppressAutoHyphens w:val="true"/>
              <w:jc w:val="both"/>
              <w:rPr>
                <w:sz w:val="20"/>
              </w:rPr>
            </w:pPr>
            <w:r>
              <w:rPr>
                <w:sz w:val="20"/>
              </w:rPr>
              <w:t>13.6 ± 2.0</w:t>
            </w:r>
          </w:p>
        </w:tc>
        <w:tc>
          <w:tcPr>
            <w:tcW w:w="1588" w:type="dxa"/>
            <w:tcBorders/>
            <w:vAlign w:val="center"/>
          </w:tcPr>
          <w:p>
            <w:pPr>
              <w:pStyle w:val="Tabletext"/>
              <w:widowControl w:val="false"/>
              <w:suppressAutoHyphens w:val="true"/>
              <w:jc w:val="both"/>
              <w:rPr>
                <w:sz w:val="20"/>
              </w:rPr>
            </w:pPr>
            <w:r>
              <w:rPr>
                <w:sz w:val="20"/>
              </w:rPr>
              <w:t>0.98 ± 0.002</w:t>
            </w:r>
          </w:p>
        </w:tc>
      </w:tr>
      <w:tr>
        <w:trPr>
          <w:trHeight w:val="228" w:hRule="atLeast"/>
        </w:trPr>
        <w:tc>
          <w:tcPr>
            <w:tcW w:w="1074" w:type="dxa"/>
            <w:tcBorders/>
            <w:vAlign w:val="center"/>
          </w:tcPr>
          <w:p>
            <w:pPr>
              <w:pStyle w:val="Tabletext"/>
              <w:widowControl w:val="false"/>
              <w:suppressAutoHyphens w:val="true"/>
              <w:jc w:val="both"/>
              <w:rPr>
                <w:sz w:val="20"/>
                <w:lang w:val="es-ES"/>
              </w:rPr>
            </w:pPr>
            <w:r>
              <w:rPr>
                <w:sz w:val="20"/>
                <w:lang w:val="es-ES"/>
              </w:rPr>
              <w:t>HbS-1</w:t>
            </w:r>
          </w:p>
        </w:tc>
        <w:tc>
          <w:tcPr>
            <w:tcW w:w="1225" w:type="dxa"/>
            <w:tcBorders/>
            <w:vAlign w:val="center"/>
          </w:tcPr>
          <w:p>
            <w:pPr>
              <w:pStyle w:val="Tabletext"/>
              <w:widowControl w:val="false"/>
              <w:suppressAutoHyphens w:val="true"/>
              <w:jc w:val="both"/>
              <w:rPr>
                <w:sz w:val="20"/>
              </w:rPr>
            </w:pPr>
            <w:r>
              <w:rPr>
                <w:sz w:val="20"/>
              </w:rPr>
              <w:t>1.17 ± 0.05</w:t>
            </w:r>
          </w:p>
        </w:tc>
        <w:tc>
          <w:tcPr>
            <w:tcW w:w="1214" w:type="dxa"/>
            <w:tcBorders/>
            <w:vAlign w:val="center"/>
          </w:tcPr>
          <w:p>
            <w:pPr>
              <w:pStyle w:val="Tabletext"/>
              <w:widowControl w:val="false"/>
              <w:suppressAutoHyphens w:val="true"/>
              <w:jc w:val="both"/>
              <w:rPr>
                <w:sz w:val="20"/>
              </w:rPr>
            </w:pPr>
            <w:r>
              <w:rPr>
                <w:sz w:val="20"/>
              </w:rPr>
              <w:t>0.15 ± 0.02</w:t>
            </w:r>
          </w:p>
        </w:tc>
        <w:tc>
          <w:tcPr>
            <w:tcW w:w="1187" w:type="dxa"/>
            <w:tcBorders/>
            <w:vAlign w:val="center"/>
          </w:tcPr>
          <w:p>
            <w:pPr>
              <w:pStyle w:val="Tabletext"/>
              <w:widowControl w:val="false"/>
              <w:suppressAutoHyphens w:val="true"/>
              <w:jc w:val="both"/>
              <w:rPr>
                <w:sz w:val="20"/>
              </w:rPr>
            </w:pPr>
            <w:r>
              <w:rPr>
                <w:sz w:val="20"/>
              </w:rPr>
              <w:t>202.1 ± 21.1</w:t>
            </w:r>
          </w:p>
        </w:tc>
        <w:tc>
          <w:tcPr>
            <w:tcW w:w="1137" w:type="dxa"/>
            <w:tcBorders/>
            <w:vAlign w:val="center"/>
          </w:tcPr>
          <w:p>
            <w:pPr>
              <w:pStyle w:val="Tabletext"/>
              <w:widowControl w:val="false"/>
              <w:suppressAutoHyphens w:val="true"/>
              <w:jc w:val="both"/>
              <w:rPr>
                <w:sz w:val="20"/>
              </w:rPr>
            </w:pPr>
            <w:r>
              <w:rPr>
                <w:sz w:val="20"/>
              </w:rPr>
              <w:t>1.82 ± 0.20</w:t>
            </w:r>
          </w:p>
        </w:tc>
        <w:tc>
          <w:tcPr>
            <w:tcW w:w="1187" w:type="dxa"/>
            <w:tcBorders/>
            <w:vAlign w:val="center"/>
          </w:tcPr>
          <w:p>
            <w:pPr>
              <w:pStyle w:val="Tabletext"/>
              <w:widowControl w:val="false"/>
              <w:suppressAutoHyphens w:val="true"/>
              <w:jc w:val="both"/>
              <w:rPr>
                <w:sz w:val="20"/>
                <w:lang w:val="es-ES"/>
              </w:rPr>
            </w:pPr>
            <w:r>
              <w:rPr>
                <w:sz w:val="20"/>
                <w:lang w:val="es-ES"/>
              </w:rPr>
              <w:t>16.2 ± 1.4</w:t>
            </w:r>
          </w:p>
        </w:tc>
        <w:tc>
          <w:tcPr>
            <w:tcW w:w="1588" w:type="dxa"/>
            <w:tcBorders/>
            <w:vAlign w:val="center"/>
          </w:tcPr>
          <w:p>
            <w:pPr>
              <w:pStyle w:val="Tabletext"/>
              <w:widowControl w:val="false"/>
              <w:suppressAutoHyphens w:val="true"/>
              <w:jc w:val="both"/>
              <w:rPr>
                <w:sz w:val="20"/>
              </w:rPr>
            </w:pPr>
            <w:r>
              <w:rPr>
                <w:sz w:val="20"/>
              </w:rPr>
              <w:t>0.98 ± 0.003</w:t>
            </w:r>
          </w:p>
        </w:tc>
      </w:tr>
      <w:tr>
        <w:trPr>
          <w:trHeight w:val="228" w:hRule="atLeast"/>
        </w:trPr>
        <w:tc>
          <w:tcPr>
            <w:tcW w:w="1074" w:type="dxa"/>
            <w:tcBorders>
              <w:bottom w:val="single" w:sz="4" w:space="0" w:color="000000"/>
            </w:tcBorders>
            <w:vAlign w:val="center"/>
          </w:tcPr>
          <w:p>
            <w:pPr>
              <w:pStyle w:val="Tabletext"/>
              <w:widowControl w:val="false"/>
              <w:suppressAutoHyphens w:val="true"/>
              <w:jc w:val="both"/>
              <w:rPr>
                <w:sz w:val="20"/>
                <w:lang w:val="es-ES"/>
              </w:rPr>
            </w:pPr>
            <w:r>
              <w:rPr>
                <w:sz w:val="20"/>
                <w:lang w:val="es-ES"/>
              </w:rPr>
              <w:t>HbS-2</w:t>
            </w:r>
          </w:p>
        </w:tc>
        <w:tc>
          <w:tcPr>
            <w:tcW w:w="1225" w:type="dxa"/>
            <w:tcBorders>
              <w:bottom w:val="single" w:sz="4" w:space="0" w:color="000000"/>
            </w:tcBorders>
            <w:vAlign w:val="center"/>
          </w:tcPr>
          <w:p>
            <w:pPr>
              <w:pStyle w:val="Tabletext"/>
              <w:widowControl w:val="false"/>
              <w:suppressAutoHyphens w:val="true"/>
              <w:jc w:val="both"/>
              <w:rPr>
                <w:sz w:val="20"/>
              </w:rPr>
            </w:pPr>
            <w:r>
              <w:rPr>
                <w:sz w:val="20"/>
              </w:rPr>
              <w:t>1.70 ± 0.04</w:t>
            </w:r>
          </w:p>
        </w:tc>
        <w:tc>
          <w:tcPr>
            <w:tcW w:w="1214" w:type="dxa"/>
            <w:tcBorders>
              <w:bottom w:val="single" w:sz="4" w:space="0" w:color="000000"/>
            </w:tcBorders>
            <w:vAlign w:val="center"/>
          </w:tcPr>
          <w:p>
            <w:pPr>
              <w:pStyle w:val="Tabletext"/>
              <w:widowControl w:val="false"/>
              <w:suppressAutoHyphens w:val="true"/>
              <w:jc w:val="both"/>
              <w:rPr>
                <w:sz w:val="20"/>
              </w:rPr>
            </w:pPr>
            <w:r>
              <w:rPr>
                <w:sz w:val="20"/>
              </w:rPr>
              <w:t>0.08 ± 0.01</w:t>
            </w:r>
          </w:p>
        </w:tc>
        <w:tc>
          <w:tcPr>
            <w:tcW w:w="1187" w:type="dxa"/>
            <w:tcBorders>
              <w:bottom w:val="single" w:sz="4" w:space="0" w:color="000000"/>
            </w:tcBorders>
            <w:vAlign w:val="center"/>
          </w:tcPr>
          <w:p>
            <w:pPr>
              <w:pStyle w:val="Tabletext"/>
              <w:widowControl w:val="false"/>
              <w:suppressAutoHyphens w:val="true"/>
              <w:jc w:val="both"/>
              <w:rPr>
                <w:sz w:val="20"/>
              </w:rPr>
            </w:pPr>
            <w:r>
              <w:rPr>
                <w:sz w:val="20"/>
              </w:rPr>
              <w:t>321.0 ± 31.0</w:t>
            </w:r>
          </w:p>
        </w:tc>
        <w:tc>
          <w:tcPr>
            <w:tcW w:w="1137" w:type="dxa"/>
            <w:tcBorders>
              <w:bottom w:val="single" w:sz="4" w:space="0" w:color="000000"/>
            </w:tcBorders>
            <w:vAlign w:val="center"/>
          </w:tcPr>
          <w:p>
            <w:pPr>
              <w:pStyle w:val="Tabletext"/>
              <w:widowControl w:val="false"/>
              <w:suppressAutoHyphens w:val="true"/>
              <w:jc w:val="both"/>
              <w:rPr>
                <w:sz w:val="20"/>
              </w:rPr>
            </w:pPr>
            <w:r>
              <w:rPr>
                <w:sz w:val="20"/>
              </w:rPr>
              <w:t>1.74 ± 0.26</w:t>
            </w:r>
          </w:p>
        </w:tc>
        <w:tc>
          <w:tcPr>
            <w:tcW w:w="1187" w:type="dxa"/>
            <w:tcBorders>
              <w:bottom w:val="single" w:sz="4" w:space="0" w:color="000000"/>
            </w:tcBorders>
            <w:vAlign w:val="center"/>
          </w:tcPr>
          <w:p>
            <w:pPr>
              <w:pStyle w:val="Tabletext"/>
              <w:widowControl w:val="false"/>
              <w:suppressAutoHyphens w:val="true"/>
              <w:jc w:val="both"/>
              <w:rPr>
                <w:sz w:val="20"/>
              </w:rPr>
            </w:pPr>
            <w:r>
              <w:rPr>
                <w:sz w:val="20"/>
              </w:rPr>
              <w:t>20.3 ± 2.7</w:t>
            </w:r>
          </w:p>
        </w:tc>
        <w:tc>
          <w:tcPr>
            <w:tcW w:w="1588" w:type="dxa"/>
            <w:tcBorders>
              <w:bottom w:val="single" w:sz="4" w:space="0" w:color="000000"/>
            </w:tcBorders>
            <w:vAlign w:val="center"/>
          </w:tcPr>
          <w:p>
            <w:pPr>
              <w:pStyle w:val="Tabletext"/>
              <w:widowControl w:val="false"/>
              <w:suppressAutoHyphens w:val="true"/>
              <w:jc w:val="both"/>
              <w:rPr>
                <w:sz w:val="20"/>
              </w:rPr>
            </w:pPr>
            <w:r>
              <w:rPr>
                <w:sz w:val="20"/>
              </w:rPr>
              <w:t>0.98 ± 0.003</w:t>
            </w:r>
          </w:p>
        </w:tc>
      </w:tr>
    </w:tbl>
    <w:p>
      <w:pPr>
        <w:pStyle w:val="Normal"/>
        <w:tabs>
          <w:tab w:val="clear" w:pos="340"/>
          <w:tab w:val="clear" w:pos="680"/>
        </w:tabs>
        <w:suppressAutoHyphens w:val="true"/>
        <w:spacing w:before="0" w:after="200"/>
        <w:ind w:left="0" w:right="0" w:hanging="0"/>
        <w:jc w:val="center"/>
        <w:rPr>
          <w:sz w:val="28"/>
          <w:szCs w:val="24"/>
          <w:lang w:val="es-ES"/>
        </w:rPr>
      </w:pPr>
      <w:r>
        <w:rPr>
          <w:sz w:val="28"/>
          <w:szCs w:val="24"/>
          <w:lang w:val="es-ES"/>
        </w:rPr>
      </w:r>
    </w:p>
    <w:p>
      <w:pPr>
        <w:pStyle w:val="Normal"/>
        <w:tabs>
          <w:tab w:val="clear" w:pos="340"/>
          <w:tab w:val="clear" w:pos="680"/>
        </w:tabs>
        <w:suppressAutoHyphens w:val="true"/>
        <w:spacing w:before="0" w:after="200"/>
        <w:ind w:left="0" w:right="0" w:hanging="0"/>
        <w:jc w:val="center"/>
        <w:rPr>
          <w:rFonts w:eastAsia="Times New Roman"/>
          <w:b/>
          <w:b/>
          <w:bCs/>
          <w:sz w:val="28"/>
          <w:szCs w:val="24"/>
          <w:lang w:val="es-ES" w:eastAsia="es-ES"/>
        </w:rPr>
      </w:pPr>
      <w:r>
        <w:rPr>
          <w:rFonts w:eastAsia="Times New Roman"/>
          <w:b/>
          <w:bCs/>
          <w:sz w:val="28"/>
          <w:szCs w:val="24"/>
          <w:lang w:val="es-ES" w:eastAsia="es-ES"/>
        </w:rPr>
        <w:t>DISCUSIÓN</w:t>
      </w:r>
    </w:p>
    <w:p>
      <w:pPr>
        <w:pStyle w:val="Normal"/>
        <w:tabs>
          <w:tab w:val="clear" w:pos="340"/>
          <w:tab w:val="clear" w:pos="680"/>
        </w:tabs>
        <w:suppressAutoHyphens w:val="true"/>
        <w:spacing w:before="280" w:after="280"/>
        <w:ind w:left="0" w:right="0" w:hanging="0"/>
        <w:rPr/>
      </w:pPr>
      <w:r>
        <w:rPr>
          <w:rFonts w:eastAsia="Times New Roman"/>
          <w:sz w:val="24"/>
          <w:szCs w:val="24"/>
          <w:lang w:val="es-ES" w:eastAsia="es-ES"/>
        </w:rPr>
        <w:t xml:space="preserve">Claramente, el 3SEM con dos dispersiones se ajustaba mejor a los perfiles experimentales de 1HMRD que el 3SEM con una sola dispersión. Se encontraron dos dispersiones: una de ellas en el intervalo de frecuencias de 0,3 MHz a 0,6 MHz y con tiempos de correlación en el rango de 141,2 ns a 321,0 ns; y otra dispersión en el intervalo de frecuencias de 4,6 MHz a 8,4 MHz y con tiempos de correlación en el rango de 11,0 ns a 20,3 ns. Los tiempos de correlación asociados a la primera dispersión realmente coinciden con la predicción teórica para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Times New Roman"/>
          <w:sz w:val="24"/>
          <w:szCs w:val="24"/>
          <w:lang w:val="es-ES" w:eastAsia="es-ES"/>
        </w:rPr>
        <w:t xml:space="preserve"> según los modelos de Mooney y Debye (~ 172 ns), sin embargo, el origen de la segunda dispersión no está claro. En los perfiles 1HMRD obtenidos en soluciones concentradas de proteína, se suelen asociar dos dispersiones a las interacciones proteína-proteína [13], sin embargo, estas interacciones deben dar lugar a un tiempo de correlación mayor y no a un valor menor como es el caso en el segundo dispersión. El oxígeno disuelto también podría dar lugar a una dispersión adicional en 1HMRD [13], pero esta dispersión suele aparecer alrededor de los 20 MHz y requiere una sensibilidad mejorada para ser observada. Sugerimos que la segunda dispersión podría estar relacionada con moléculas de agua internas con </w:t>
      </w:r>
      <w:r>
        <w:rPr/>
      </w:r>
      <m:oMath xmlns:m="http://schemas.openxmlformats.org/officeDocument/2006/math">
        <m:sSubSup>
          <m:e>
            <m:r>
              <w:rPr>
                <w:rFonts w:ascii="Cambria Math" w:hAnsi="Cambria Math"/>
              </w:rPr>
              <m:t xml:space="preserve">τ</m:t>
            </m:r>
          </m:e>
          <m:sub>
            <m:r>
              <m:rPr>
                <m:lit/>
                <m:nor/>
              </m:rPr>
              <w:rPr>
                <w:rFonts w:ascii="Cambria Math" w:hAnsi="Cambria Math"/>
              </w:rPr>
              <m:t xml:space="preserve">res</m:t>
            </m:r>
          </m:sub>
          <m:sup>
            <m:r>
              <m:rPr>
                <m:lit/>
                <m:nor/>
              </m:rPr>
              <w:rPr>
                <w:rFonts w:ascii="Cambria Math" w:hAnsi="Cambria Math"/>
              </w:rPr>
              <m:t xml:space="preserve">in</m:t>
            </m:r>
          </m:sup>
        </m:sSubSup>
        <m:sSub>
          <m:e>
            <m:r>
              <m:rPr>
                <m:lit/>
                <m:nor/>
              </m:rPr>
              <w:rPr>
                <w:rFonts w:ascii="Cambria Math" w:hAnsi="Cambria Math"/>
              </w:rPr>
              <m:t xml:space="preserve">&lt;τ</m:t>
            </m:r>
          </m:e>
          <m:sub>
            <m:r>
              <w:rPr>
                <w:rFonts w:ascii="Cambria Math" w:hAnsi="Cambria Math"/>
              </w:rPr>
              <m:t xml:space="preserve">R</m:t>
            </m:r>
          </m:sub>
        </m:sSub>
      </m:oMath>
      <w:r>
        <w:rPr>
          <w:rFonts w:eastAsia="Times New Roman"/>
          <w:sz w:val="24"/>
          <w:szCs w:val="24"/>
          <w:lang w:val="es-ES" w:eastAsia="es-ES"/>
        </w:rPr>
        <w:t xml:space="preserve">, donde </w:t>
      </w:r>
      <w:r>
        <w:rPr/>
      </w:r>
      <m:oMath xmlns:m="http://schemas.openxmlformats.org/officeDocument/2006/math">
        <m:sSubSup>
          <m:e>
            <m:r>
              <w:rPr>
                <w:rFonts w:ascii="Cambria Math" w:hAnsi="Cambria Math"/>
              </w:rPr>
              <m:t xml:space="preserve">τ</m:t>
            </m:r>
          </m:e>
          <m:sub>
            <m:r>
              <m:rPr>
                <m:lit/>
                <m:nor/>
              </m:rPr>
              <w:rPr>
                <w:rFonts w:ascii="Cambria Math" w:hAnsi="Cambria Math"/>
              </w:rPr>
              <m:t xml:space="preserve">res</m:t>
            </m:r>
          </m:sub>
          <m:sup>
            <m:r>
              <m:rPr>
                <m:lit/>
                <m:nor/>
              </m:rPr>
              <w:rPr>
                <w:rFonts w:ascii="Cambria Math" w:hAnsi="Cambria Math"/>
              </w:rPr>
              <m:t xml:space="preserve">in</m:t>
            </m:r>
          </m:sup>
        </m:sSubSup>
      </m:oMath>
      <w:r>
        <w:rPr>
          <w:rFonts w:eastAsia="Times New Roman"/>
          <w:sz w:val="24"/>
          <w:szCs w:val="24"/>
          <w:lang w:val="es-ES" w:eastAsia="es-ES"/>
        </w:rPr>
        <w:t xml:space="preserve"> domina el tiempo de correlaci</w:t>
      </w:r>
      <w:r>
        <w:rPr>
          <w:rFonts w:eastAsia="Times New Roman" w:cs="Times New Roman"/>
          <w:color w:val="auto"/>
          <w:sz w:val="24"/>
          <w:szCs w:val="24"/>
          <w:lang w:val="es-ES" w:eastAsia="es-ES" w:bidi="ar-SA"/>
        </w:rPr>
        <w:t>ón efectiva de la dispersión.</w:t>
      </w:r>
    </w:p>
    <w:p>
      <w:pPr>
        <w:pStyle w:val="Normal"/>
        <w:tabs>
          <w:tab w:val="clear" w:pos="340"/>
          <w:tab w:val="clear" w:pos="680"/>
        </w:tabs>
        <w:suppressAutoHyphens w:val="true"/>
        <w:spacing w:before="280" w:after="280"/>
        <w:ind w:left="0" w:right="0" w:hanging="0"/>
        <w:rPr>
          <w:rFonts w:eastAsia="Times New Roman" w:cs="Times New Roman"/>
          <w:color w:val="auto"/>
          <w:sz w:val="24"/>
          <w:szCs w:val="24"/>
          <w:lang w:val="es-ES" w:eastAsia="es-ES" w:bidi="ar-SA"/>
        </w:rPr>
      </w:pPr>
      <w:r>
        <w:rPr>
          <w:rFonts w:eastAsia="Times New Roman" w:cs="Times New Roman"/>
          <w:color w:val="auto"/>
          <w:sz w:val="24"/>
          <w:szCs w:val="24"/>
          <w:lang w:val="es-ES" w:eastAsia="es-ES" w:bidi="ar-SA"/>
        </w:rPr>
        <w:t>Algo similar podría ocurrir con una pequeña población de moléculas de agua hidratada en la superficie de la proteína: enlaces de hidrógeno más extensos que la mayoría de las moléculas de agua hidratada [16], con tiempos de correlación efectivos superiores a 1ns y dispersándose (cuando estas moléculas están presentes) en nuestro rango de frecuencia de estudio. En cualquier caso, se requieren análisis experimentales y teóricos más profundos para definir el origen de esta segunda dispersión y esto debe ser objeto de futuros trabajos.</w:t>
      </w:r>
    </w:p>
    <w:p>
      <w:pPr>
        <w:pStyle w:val="Normal"/>
        <w:tabs>
          <w:tab w:val="clear" w:pos="340"/>
          <w:tab w:val="clear" w:pos="680"/>
        </w:tabs>
        <w:suppressAutoHyphens w:val="true"/>
        <w:spacing w:before="280" w:after="280"/>
        <w:ind w:left="0" w:right="0" w:hanging="0"/>
        <w:rPr/>
      </w:pPr>
      <w:r>
        <w:rPr>
          <w:rFonts w:eastAsia="Times New Roman" w:cs="Times New Roman"/>
          <w:color w:val="auto"/>
          <w:sz w:val="24"/>
          <w:szCs w:val="24"/>
          <w:lang w:val="es-ES" w:eastAsia="es-ES" w:bidi="ar-SA"/>
        </w:rPr>
        <w:t xml:space="preserve">La ecuación. (2), incluyendo o no la modificación sugerida en la ecuación (3), es más adecuada para analizar la relajación magnética de 1H durante la polimerización de HbS que la ecuación. (1) utilizado en trabajos previos [1, 2, 11, 12]. Este enfoque físico describe más adecuadamente la solución de Hb + agua y la relajación magnética </w:t>
      </w:r>
      <w:r>
        <w:rPr/>
      </w:r>
      <m:oMath xmlns:m="http://schemas.openxmlformats.org/officeDocument/2006/math">
        <m:sSup>
          <m:e/>
          <m:sup>
            <m:r>
              <w:rPr>
                <w:rFonts w:ascii="Cambria Math" w:hAnsi="Cambria Math"/>
              </w:rPr>
              <m:t xml:space="preserve">1</m:t>
            </m:r>
          </m:sup>
        </m:sSup>
        <m:r>
          <w:rPr>
            <w:rFonts w:ascii="Cambria Math" w:hAnsi="Cambria Math"/>
          </w:rPr>
          <m:t xml:space="preserve">H</m:t>
        </m:r>
      </m:oMath>
      <w:r>
        <w:rPr>
          <w:rFonts w:eastAsia="Times New Roman" w:cs="Times New Roman"/>
          <w:color w:val="auto"/>
          <w:sz w:val="24"/>
          <w:szCs w:val="24"/>
          <w:lang w:val="es-ES" w:eastAsia="es-ES" w:bidi="ar-SA"/>
        </w:rPr>
        <w:t xml:space="preserve"> en su interior, particularmente el 3SEM con dos dispersiones permite la evaluación adecuada de </w:t>
      </w:r>
      <w:r>
        <w:rPr/>
      </w:r>
      <m:oMath xmlns:m="http://schemas.openxmlformats.org/officeDocument/2006/math">
        <m:sSub>
          <m:e>
            <m:r>
              <w:rPr>
                <w:rFonts w:ascii="Cambria Math" w:hAnsi="Cambria Math"/>
              </w:rPr>
              <m:t xml:space="preserve">τ</m:t>
            </m:r>
          </m:e>
          <m:sub>
            <m:r>
              <w:rPr>
                <w:rFonts w:ascii="Cambria Math" w:hAnsi="Cambria Math"/>
              </w:rPr>
              <m:t xml:space="preserve">R</m:t>
            </m:r>
          </m:sub>
        </m:sSub>
      </m:oMath>
      <w:r>
        <w:rPr>
          <w:rFonts w:eastAsia="Times New Roman" w:cs="Times New Roman"/>
          <w:color w:val="auto"/>
          <w:sz w:val="24"/>
          <w:szCs w:val="24"/>
          <w:lang w:val="es-ES" w:eastAsia="es-ES" w:bidi="ar-SA"/>
        </w:rPr>
        <w:t xml:space="preserve">. Por otro lado, los valores de α y β podrían ser útiles para estimar el comportamiento del </w:t>
      </w:r>
      <w:r>
        <w:rPr/>
      </w:r>
      <m:oMath xmlns:m="http://schemas.openxmlformats.org/officeDocument/2006/math">
        <m:sSub>
          <m:e>
            <m:r>
              <w:rPr>
                <w:rFonts w:ascii="Cambria Math" w:hAnsi="Cambria Math"/>
              </w:rPr>
              <m:t xml:space="preserve">P</m:t>
            </m:r>
          </m:e>
          <m:sub>
            <m:r>
              <w:rPr>
                <w:rFonts w:ascii="Cambria Math" w:hAnsi="Cambria Math"/>
              </w:rPr>
              <m:t xml:space="preserve">b</m:t>
            </m:r>
          </m:sub>
        </m:sSub>
      </m:oMath>
      <w:r>
        <w:rPr>
          <w:rFonts w:eastAsia="Times New Roman" w:cs="Times New Roman"/>
          <w:color w:val="auto"/>
          <w:sz w:val="24"/>
          <w:szCs w:val="24"/>
          <w:lang w:val="es-ES" w:eastAsia="es-ES" w:bidi="ar-SA"/>
        </w:rPr>
        <w:t>.</w:t>
      </w:r>
    </w:p>
    <w:p>
      <w:pPr>
        <w:pStyle w:val="Normal"/>
        <w:tabs>
          <w:tab w:val="clear" w:pos="340"/>
          <w:tab w:val="clear" w:pos="680"/>
        </w:tabs>
        <w:spacing w:before="0" w:after="200"/>
        <w:ind w:left="0" w:right="0" w:hanging="0"/>
        <w:jc w:val="center"/>
        <w:rPr>
          <w:rFonts w:eastAsia="Times New Roman"/>
          <w:b/>
          <w:b/>
          <w:bCs/>
          <w:sz w:val="28"/>
          <w:lang w:val="es-ES" w:eastAsia="es-ES"/>
        </w:rPr>
      </w:pPr>
      <w:r>
        <w:rPr>
          <w:rFonts w:eastAsia="Times New Roman"/>
          <w:b/>
          <w:bCs/>
          <w:sz w:val="28"/>
          <w:lang w:val="es-ES" w:eastAsia="es-ES"/>
        </w:rPr>
        <w:t>CONCLUSIONES</w:t>
      </w:r>
    </w:p>
    <w:p>
      <w:pPr>
        <w:pStyle w:val="Normal"/>
        <w:suppressAutoHyphens w:val="true"/>
        <w:ind w:left="0" w:right="0" w:hanging="0"/>
        <w:rPr/>
      </w:pPr>
      <w:r>
        <w:rPr>
          <w:rFonts w:eastAsia="Times New Roman" w:cs="Times New Roman"/>
          <w:color w:val="auto"/>
          <w:sz w:val="24"/>
          <w:szCs w:val="24"/>
          <w:lang w:val="es-ES" w:eastAsia="es-ES" w:bidi="ar-SA"/>
        </w:rPr>
        <w:t xml:space="preserve">El modelo de intercambio de tres sitios, que incluye la contribución de protones lábiles de la estructura de la proteína, mostró ser más adecuado que el modelo de intercambio de agua de dos sitios para describir los perfiles de </w:t>
      </w:r>
      <w:r>
        <w:rPr/>
      </w:r>
      <m:oMath xmlns:m="http://schemas.openxmlformats.org/officeDocument/2006/math">
        <m:sSup>
          <m:e/>
          <m:sup>
            <m:r>
              <w:rPr>
                <w:rFonts w:ascii="Cambria Math" w:hAnsi="Cambria Math"/>
              </w:rPr>
              <m:t xml:space="preserve">1</m:t>
            </m:r>
          </m:sup>
        </m:sSup>
        <m:r>
          <m:rPr>
            <m:lit/>
            <m:nor/>
          </m:rPr>
          <w:rPr>
            <w:rFonts w:ascii="Cambria Math" w:hAnsi="Cambria Math"/>
          </w:rPr>
          <m:t xml:space="preserve">HMRD</m:t>
        </m:r>
      </m:oMath>
      <w:r>
        <w:rPr>
          <w:rFonts w:eastAsia="Times New Roman" w:cs="Times New Roman"/>
          <w:color w:val="auto"/>
          <w:sz w:val="24"/>
          <w:szCs w:val="24"/>
          <w:lang w:val="es-ES" w:eastAsia="es-ES" w:bidi="ar-SA"/>
        </w:rPr>
        <w:t xml:space="preserve"> en soluciones de hemoglobina intracelular; la contribución de la relajación cruzada a la magnitud de la dispersión fue, al menos, un orden de magnitud menor que la magnitud de la dispersión total. Se encontraron dos dispersiones: una describiendo adecuadamente el tiempo de correlación rotacional de la hemoglobina y otra probablemente relacionada con moléculas de agua interna y/o hidratada con tiempos de correlación efectivos superiores a 1ns y tiempos de residencia principal menores que el tiempo de correlación rotacional de la proteína. El uso del modelo de intercambio de tres sitios crea las condiciones para explicar adecuadamente la relajación magnética de protones durante la polimerización de HbS.</w:t>
      </w:r>
    </w:p>
    <w:p>
      <w:pPr>
        <w:pStyle w:val="Normal"/>
        <w:tabs>
          <w:tab w:val="clear" w:pos="340"/>
          <w:tab w:val="clear" w:pos="680"/>
        </w:tabs>
        <w:spacing w:before="0" w:after="200"/>
        <w:ind w:left="0" w:right="0" w:hanging="0"/>
        <w:jc w:val="center"/>
        <w:rPr>
          <w:rFonts w:eastAsia="Times New Roman"/>
          <w:b/>
          <w:b/>
          <w:bCs/>
          <w:sz w:val="28"/>
          <w:szCs w:val="24"/>
          <w:lang w:val="es-ES" w:eastAsia="es-ES"/>
        </w:rPr>
      </w:pPr>
      <w:r>
        <w:rPr>
          <w:rFonts w:eastAsia="Times New Roman"/>
          <w:b/>
          <w:bCs/>
          <w:sz w:val="28"/>
          <w:szCs w:val="24"/>
          <w:lang w:val="es-ES" w:eastAsia="es-ES"/>
        </w:rPr>
      </w:r>
    </w:p>
    <w:p>
      <w:pPr>
        <w:pStyle w:val="Normal"/>
        <w:tabs>
          <w:tab w:val="clear" w:pos="340"/>
          <w:tab w:val="clear" w:pos="680"/>
        </w:tabs>
        <w:spacing w:before="0" w:after="200"/>
        <w:ind w:left="0" w:right="0" w:hanging="0"/>
        <w:jc w:val="center"/>
        <w:rPr>
          <w:rFonts w:eastAsia="Times New Roman"/>
          <w:b/>
          <w:b/>
          <w:bCs/>
          <w:sz w:val="28"/>
          <w:lang w:val="es-ES" w:eastAsia="es-ES"/>
        </w:rPr>
      </w:pPr>
      <w:r>
        <w:rPr>
          <w:rFonts w:eastAsia="Times New Roman"/>
          <w:b/>
          <w:bCs/>
          <w:sz w:val="28"/>
          <w:lang w:val="es-ES" w:eastAsia="es-ES"/>
        </w:rPr>
        <w:t xml:space="preserve">REFERENCIAS </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J.C. García-Naranjo, C.A. Cabal-Mirabal, Appl. Magn. Reson. 50, 541 (2019). https://doi.org/10.1007/s00723-018-1104-0</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C.A. Cabal-Mirabal, A. Fernández-García, M.A. Lores-Guevara, E. González-Dalmau, L. Oramas Díaz, Appl. Magn. Reson. 49, 589 (2018). https://doi.org/10.1007/s00723-018-0985-2</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C.A. Cabal-Mirabal, M.A. Lores-Guevara, V.I. Chizhik, S.O. Rabdano, J.C. García-Naranjo, Appl Magn Reson. (2020). https://doi.org/10.1007/s00723-020-01241-x</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N. Archer, F. Galacteros, C. Brugnara, Am. J. Hematol. 90, 934 (2015). https://doi.org/10.1002/ajh.24116</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L. Gravitz, S. Pincock, Nature (2014). https://doi.org/10.1038/515S1a</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F.B. Piel, M.H. Steinberg, D.C. Rees, N. Engl, J. Med. 376, 1561 (2017). https://doi.org/10.1056/NEJMra1510865</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E.A. Ajjack, H.A. Awooda, S.E. Adalla, Int. J. Hematol. Disord. 1, 8 (2014). https://doi.org/10. 12691/ijhd-1-1-2</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L.V. Parise, N. Berliner, Blood 127, 789 (2016). https://doi.org/10.1182/blood-2015-12-674606</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E.I. Obeagu, K.C. Ochei, B.N. Nwachukwu, B.O. Nchuma, Sch. J. App. Med. Sci. A3, 2244 (2015)</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A. Nowogrodzki, Nature 596, S13 (2021). https://doi.org/10.1038/d41586-021-02143-z</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C.A. Cabal-Mirabal, Appl. Magn. Reson. 28, 79 (2005). https://doi.org/10. 1007/BF03166995</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Y. Cabrales, M.A. Lores-Guevara, Y. Machado, Appl. Magn. Reson. 33, 207 (2008). https://doi.org/10.1007/s00723-008-0074-z</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S. Kiihne, R.G. Bryant, Biophys. J. 78, 2163 (2000). https://doi.org/10.1016/S0006-3495(00)76763-4”</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I.R. Kleckner, M.P. Foster, Biochim. Biophys. Acta 1814, 942 (2011). https://doi.org/10.1016/j.bba-pap.2010.10.012</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T.R. Lindstrom, S.H. Koenig, J. Magn. Reson. A15, 344 (1974)</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B. Halle, Phil. Trans. R. Soc. Lond. B. 359, 1207 (2004). https://doi.org/10.1098/rstb.2004.1499</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Y. Mengana-Torres, J.C. García-Naranjo, N. Rodríguez-Suárez, L.C. Suáres Beyries, M.A. Marichal-Feliu, T. Simón-Boada, I.C. Rodríguez-Reyes, J.Phillipé, Appl. Magn. Reson. 49, 1075 (2018). https://doi.org/10.1007/s00723-018-1026-x</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C.A. Cabal-Mirabal, O. Nascimento, A.M. Gennaro, Appl. Magn. Reson. 30, 121 (2006). https://doi.org/10.1007/BF03166986</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K. Hallenga, S.H. Koenig, Biochemistry A15, 4255 (1976)</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Y.M. Mengana-Torres, J.C. García-Naranjo, A. Ramírez-Aguilera, L.C. Suáres-Beyries, M.A. Marichal-Feliu, T. Simón-Boada, J. Philippé, J. Biosci. Med. 4, 152 (2016). https://doi.org/10.4236/jbm.2016.412019</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M.A. Lores-Guevara, J.C. García-Naranjo, Y.M. Mengana-Torres, J. Pereira, Adv. Biol. Chem. 4, 388 (2014). https://doi.org/10.4236/abc.2014.46044</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K. Venu, V.P. Denisov, B. Halle, J. Am. Chem. Soc. 119, 3122 (1997). https://doi.org/10.1021/ja963611t</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V.P. Denisov, B. Halle, Faraday Discuss. 103, 227 (1996). https://doi.org/10.1039/FD9960300227</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V.P. Denisov, J. Peters, H.D. Hōrlein, B. Halle, Nature Struct. Biol. 3, 505 (1996). https://doi.org/10. 1038/nsb0696-505</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K. Modig, E. Liepinsh, G. Otting, B. Halle, J. Am. Chem. Soc. 126, 102 (2004). https://doi.org/10. 1021/ja038325d</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B. Halle, V.P. Denisov, Meth. Enzymol. 338, 178 (2001). https://doi.org/10.1016/s0076-6879(02)38220-x</w:t>
      </w:r>
    </w:p>
    <w:p>
      <w:pPr>
        <w:pStyle w:val="Normal"/>
        <w:numPr>
          <w:ilvl w:val="0"/>
          <w:numId w:val="4"/>
        </w:numPr>
        <w:tabs>
          <w:tab w:val="clear" w:pos="340"/>
          <w:tab w:val="clear" w:pos="680"/>
        </w:tabs>
        <w:spacing w:before="280" w:after="280"/>
        <w:ind w:left="720" w:right="0" w:hanging="360"/>
        <w:jc w:val="left"/>
        <w:rPr>
          <w:rFonts w:ascii="Times New Roman" w:hAnsi="Times New Roman" w:eastAsia="Times New Roman" w:cs="Times New Roman"/>
          <w:color w:val="auto"/>
          <w:sz w:val="24"/>
          <w:szCs w:val="24"/>
          <w:highlight w:val="none"/>
          <w:shd w:fill="auto" w:val="clear"/>
          <w:lang w:val="es-ES" w:eastAsia="es-ES" w:bidi="ar-SA"/>
        </w:rPr>
      </w:pPr>
      <w:r>
        <w:rPr>
          <w:rFonts w:eastAsia="Times New Roman" w:cs="Times New Roman"/>
          <w:color w:val="000000"/>
          <w:sz w:val="24"/>
          <w:szCs w:val="24"/>
          <w:shd w:fill="auto" w:val="clear"/>
          <w:lang w:val="es-ES" w:eastAsia="es-ES" w:bidi="ar-SA"/>
        </w:rPr>
        <w:t>B. Halle, H. Johanneson, K. Venu, J. Magn. Reson. 135, 1 (1998). https://doi.org/10.1006/JMRE.1998.1534</w:t>
      </w:r>
    </w:p>
    <w:p>
      <w:pPr>
        <w:pStyle w:val="Normal"/>
        <w:suppressAutoHyphens w:val="true"/>
        <w:ind w:left="0" w:right="0" w:hanging="0"/>
        <w:rPr>
          <w:sz w:val="24"/>
          <w:szCs w:val="24"/>
          <w:lang w:val="es-VE"/>
        </w:rPr>
      </w:pPr>
      <w:r>
        <w:rPr>
          <w:sz w:val="24"/>
          <w:szCs w:val="24"/>
          <w:lang w:val="es-VE"/>
        </w:rPr>
      </w:r>
    </w:p>
    <w:p>
      <w:pPr>
        <w:pStyle w:val="End"/>
        <w:suppressAutoHyphens w:val="true"/>
        <w:spacing w:lineRule="auto" w:line="240"/>
        <w:jc w:val="both"/>
        <w:rPr>
          <w:sz w:val="24"/>
          <w:szCs w:val="24"/>
          <w:lang w:val="es-VE"/>
        </w:rPr>
      </w:pPr>
      <w:r>
        <w:rPr>
          <w:sz w:val="24"/>
          <w:szCs w:val="24"/>
          <w:lang w:val="es-VE"/>
        </w:rPr>
      </w:r>
    </w:p>
    <w:p>
      <w:pPr>
        <w:pStyle w:val="End"/>
        <w:suppressAutoHyphens w:val="true"/>
        <w:spacing w:lineRule="auto" w:line="240"/>
        <w:jc w:val="both"/>
        <w:rPr>
          <w:sz w:val="24"/>
          <w:szCs w:val="24"/>
          <w:lang w:val="es-VE"/>
        </w:rPr>
      </w:pPr>
      <w:r>
        <w:rPr/>
      </w:r>
    </w:p>
    <w:sectPr>
      <w:headerReference w:type="even" r:id="rId4"/>
      <w:headerReference w:type="default" r:id="rId5"/>
      <w:type w:val="nextPage"/>
      <w:pgSz w:w="12240" w:h="15840"/>
      <w:pgMar w:left="1418" w:right="1418" w:gutter="0" w:header="850" w:top="1417"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center"/>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center"/>
      <w:rPr/>
    </w:pPr>
    <w:r>
      <w:rPr/>
      <w:drawing>
        <wp:inline distT="0" distB="0" distL="0" distR="0">
          <wp:extent cx="1935480" cy="554990"/>
          <wp:effectExtent l="0" t="0" r="0" b="0"/>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1"/>
                  <a:srcRect l="-70" t="-244" r="-70" b="-244"/>
                  <a:stretch>
                    <a:fillRect/>
                  </a:stretch>
                </pic:blipFill>
                <pic:spPr bwMode="auto">
                  <a:xfrm>
                    <a:off x="0" y="0"/>
                    <a:ext cx="1935480" cy="5549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upperRoman"/>
      <w:suff w:val="space"/>
      <w:lvlText w:val="%1."/>
      <w:lvlJc w:val="center"/>
      <w:pPr>
        <w:tabs>
          <w:tab w:val="num" w:pos="0"/>
        </w:tabs>
        <w:ind w:left="0" w:hanging="0"/>
      </w:pPr>
      <w:rPr>
        <w:sz w:val="24"/>
        <w:szCs w:val="20"/>
        <w:rFonts w:ascii="Times New Roman" w:hAnsi="Times New Roman" w:cs="Times New Roman"/>
        <w:lang w:val="es-VE"/>
      </w:rPr>
    </w:lvl>
    <w:lvl w:ilvl="1">
      <w:start w:val="1"/>
      <w:numFmt w:val="upperLetter"/>
      <w:suff w:val="space"/>
      <w:lvlText w:val="%2."/>
      <w:lvlJc w:val="left"/>
      <w:pPr>
        <w:tabs>
          <w:tab w:val="num" w:pos="0"/>
        </w:tabs>
        <w:ind w:left="340" w:hanging="0"/>
      </w:pPr>
      <w:rPr/>
    </w:lvl>
    <w:lvl w:ilvl="2">
      <w:start w:val="1"/>
      <w:numFmt w:val="lowerRoman"/>
      <w:lvlText w:val="%3)"/>
      <w:lvlJc w:val="left"/>
      <w:pPr>
        <w:tabs>
          <w:tab w:val="num" w:pos="1420"/>
        </w:tabs>
        <w:ind w:left="1420" w:hanging="360"/>
      </w:pPr>
      <w:rPr/>
    </w:lvl>
    <w:lvl w:ilvl="3">
      <w:start w:val="1"/>
      <w:numFmt w:val="decimal"/>
      <w:lvlText w:val="(%4)"/>
      <w:lvlJc w:val="left"/>
      <w:pPr>
        <w:tabs>
          <w:tab w:val="num" w:pos="1780"/>
        </w:tabs>
        <w:ind w:left="1780" w:hanging="360"/>
      </w:pPr>
      <w:rPr/>
    </w:lvl>
    <w:lvl w:ilvl="4">
      <w:start w:val="1"/>
      <w:numFmt w:val="lowerLetter"/>
      <w:lvlText w:val="(%5)"/>
      <w:lvlJc w:val="left"/>
      <w:pPr>
        <w:tabs>
          <w:tab w:val="num" w:pos="2140"/>
        </w:tabs>
        <w:ind w:left="2140" w:hanging="360"/>
      </w:pPr>
      <w:rPr/>
    </w:lvl>
    <w:lvl w:ilvl="5">
      <w:start w:val="1"/>
      <w:numFmt w:val="lowerRoman"/>
      <w:lvlText w:val="(%6)"/>
      <w:lvlJc w:val="left"/>
      <w:pPr>
        <w:tabs>
          <w:tab w:val="num" w:pos="2500"/>
        </w:tabs>
        <w:ind w:left="2500" w:hanging="360"/>
      </w:pPr>
      <w:rPr/>
    </w:lvl>
    <w:lvl w:ilvl="6">
      <w:start w:val="1"/>
      <w:numFmt w:val="decimal"/>
      <w:lvlText w:val="%7."/>
      <w:lvlJc w:val="left"/>
      <w:pPr>
        <w:tabs>
          <w:tab w:val="num" w:pos="2860"/>
        </w:tabs>
        <w:ind w:left="2860" w:hanging="360"/>
      </w:pPr>
      <w:rPr/>
    </w:lvl>
    <w:lvl w:ilvl="7">
      <w:start w:val="1"/>
      <w:numFmt w:val="lowerLetter"/>
      <w:lvlText w:val="%8."/>
      <w:lvlJc w:val="left"/>
      <w:pPr>
        <w:tabs>
          <w:tab w:val="num" w:pos="3220"/>
        </w:tabs>
        <w:ind w:left="3220" w:hanging="360"/>
      </w:pPr>
      <w:rPr/>
    </w:lvl>
    <w:lvl w:ilvl="8">
      <w:start w:val="1"/>
      <w:numFmt w:val="lowerRoman"/>
      <w:lvlText w:val="%9."/>
      <w:lvlJc w:val="left"/>
      <w:pPr>
        <w:tabs>
          <w:tab w:val="num" w:pos="3580"/>
        </w:tabs>
        <w:ind w:left="35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isplayBackgroundShape/>
  <w:mirrorMargins/>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s-US" w:eastAsia="zh-CN" w:bidi="hi-IN"/>
      </w:rPr>
    </w:rPrDefault>
    <w:pPrDefault>
      <w:pPr>
        <w:suppressAutoHyphens w:val="true"/>
      </w:pPr>
    </w:pPrDefault>
  </w:docDefaults>
  <w:style w:type="paragraph" w:styleId="Normal">
    <w:name w:val="Normal"/>
    <w:qFormat/>
    <w:pPr>
      <w:widowControl/>
      <w:tabs>
        <w:tab w:val="clear" w:pos="709"/>
        <w:tab w:val="left" w:pos="340" w:leader="none"/>
        <w:tab w:val="left" w:pos="680" w:leader="none"/>
      </w:tabs>
      <w:suppressAutoHyphens w:val="false"/>
      <w:overflowPunct w:val="false"/>
      <w:bidi w:val="0"/>
      <w:spacing w:before="0" w:after="0"/>
      <w:ind w:left="0" w:right="0" w:firstLine="227"/>
      <w:jc w:val="both"/>
    </w:pPr>
    <w:rPr>
      <w:rFonts w:ascii="Times New Roman" w:hAnsi="Times New Roman" w:eastAsia="Batang;바탕" w:cs="Times New Roman"/>
      <w:color w:val="auto"/>
      <w:kern w:val="0"/>
      <w:sz w:val="20"/>
      <w:szCs w:val="20"/>
      <w:lang w:val="en-US" w:eastAsia="zh-CN" w:bidi="ar-SA"/>
    </w:rPr>
  </w:style>
  <w:style w:type="paragraph" w:styleId="Ttulo1">
    <w:name w:val="Heading 1"/>
    <w:basedOn w:val="Normal"/>
    <w:next w:val="Normal"/>
    <w:qFormat/>
    <w:pPr>
      <w:keepNext w:val="true"/>
      <w:keepLines/>
      <w:numPr>
        <w:ilvl w:val="0"/>
        <w:numId w:val="3"/>
      </w:numPr>
      <w:suppressAutoHyphens w:val="true"/>
      <w:spacing w:before="400" w:after="200"/>
      <w:jc w:val="center"/>
      <w:outlineLvl w:val="0"/>
    </w:pPr>
    <w:rPr>
      <w:rFonts w:cs="Arial"/>
      <w:bCs/>
      <w:caps/>
      <w:kern w:val="2"/>
      <w:sz w:val="16"/>
      <w:szCs w:val="16"/>
    </w:rPr>
  </w:style>
  <w:style w:type="paragraph" w:styleId="Ttulo2">
    <w:name w:val="Heading 2"/>
    <w:basedOn w:val="Ttulo1"/>
    <w:next w:val="Normal"/>
    <w:qFormat/>
    <w:pPr>
      <w:numPr>
        <w:ilvl w:val="0"/>
        <w:numId w:val="3"/>
      </w:numPr>
      <w:spacing w:before="300" w:after="150"/>
      <w:jc w:val="left"/>
      <w:outlineLvl w:val="1"/>
    </w:pPr>
    <w:rPr>
      <w:bCs w:val="false"/>
      <w:i/>
      <w:iCs/>
      <w:caps w:val="false"/>
      <w:smallCaps w:val="false"/>
      <w:sz w:val="20"/>
      <w:szCs w:val="20"/>
    </w:rPr>
  </w:style>
  <w:style w:type="paragraph" w:styleId="Ttulo3">
    <w:name w:val="Heading 3"/>
    <w:basedOn w:val="Ttulo2"/>
    <w:next w:val="Normal"/>
    <w:qFormat/>
    <w:pPr>
      <w:numPr>
        <w:ilvl w:val="0"/>
        <w:numId w:val="0"/>
      </w:numPr>
      <w:ind w:left="0" w:right="0" w:hanging="0"/>
      <w:outlineLvl w:val="2"/>
    </w:pPr>
    <w:rPr>
      <w:bCs/>
      <w:szCs w:val="26"/>
    </w:rPr>
  </w:style>
  <w:style w:type="paragraph" w:styleId="Ttulo4">
    <w:name w:val="Heading 4"/>
    <w:basedOn w:val="Ttulo3"/>
    <w:next w:val="Normal"/>
    <w:qFormat/>
    <w:pPr>
      <w:spacing w:before="300" w:after="150"/>
      <w:outlineLvl w:val="3"/>
    </w:pPr>
    <w:rPr>
      <w:bCs w:val="false"/>
      <w:szCs w:val="28"/>
    </w:rPr>
  </w:style>
  <w:style w:type="paragraph" w:styleId="Ttulo5">
    <w:name w:val="Heading 5"/>
    <w:basedOn w:val="Ttulo3"/>
    <w:next w:val="Normal"/>
    <w:qFormat/>
    <w:pPr>
      <w:outlineLvl w:val="4"/>
    </w:pPr>
    <w:rPr>
      <w:bCs w:val="false"/>
      <w:iCs w:val="false"/>
    </w:rPr>
  </w:style>
  <w:style w:type="paragraph" w:styleId="Ttulo6">
    <w:name w:val="Heading 6"/>
    <w:basedOn w:val="Ttulo3"/>
    <w:next w:val="Normal"/>
    <w:qFormat/>
    <w:pPr>
      <w:spacing w:before="240" w:after="60"/>
      <w:outlineLvl w:val="5"/>
    </w:pPr>
    <w:rPr>
      <w:bCs w:val="false"/>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spacing w:before="300" w:after="150"/>
      <w:outlineLvl w:val="7"/>
    </w:pPr>
    <w:rPr>
      <w:iCs w:val="false"/>
      <w:szCs w:val="24"/>
    </w:rPr>
  </w:style>
  <w:style w:type="paragraph" w:styleId="Ttulo9">
    <w:name w:val="Heading 9"/>
    <w:basedOn w:val="Ttulo3"/>
    <w:next w:val="Normal"/>
    <w:qFormat/>
    <w:pPr>
      <w:outlineLvl w:val="8"/>
    </w:pPr>
    <w:rPr>
      <w:szCs w:val="22"/>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Times New Roman" w:hAnsi="Times New Roman" w:cs="Times New Roman"/>
      <w:sz w:val="24"/>
      <w:szCs w:val="20"/>
      <w:lang w:val="es-VE"/>
    </w:rPr>
  </w:style>
  <w:style w:type="character" w:styleId="WW8Num4z1">
    <w:name w:val="WW8Num4z1"/>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Times New Roman" w:hAnsi="Times New Roman" w:cs="Times New Roman"/>
      <w:sz w:val="20"/>
      <w:szCs w:val="20"/>
    </w:rPr>
  </w:style>
  <w:style w:type="character" w:styleId="WW8Num11z1">
    <w:name w:val="WW8Num11z1"/>
    <w:qFormat/>
    <w:rPr/>
  </w:style>
  <w:style w:type="character" w:styleId="WW8Num13z0">
    <w:name w:val="WW8Num13z0"/>
    <w:qFormat/>
    <w:rPr>
      <w:rFonts w:ascii="Symbol" w:hAnsi="Symbol" w:cs="Symbol"/>
    </w:rPr>
  </w:style>
  <w:style w:type="character" w:styleId="WW8Num13z1">
    <w:name w:val="WW8Num13z1"/>
    <w:qFormat/>
    <w:rPr/>
  </w:style>
  <w:style w:type="character" w:styleId="WW8Num14z0">
    <w:name w:val="WW8Num14z0"/>
    <w:qFormat/>
    <w:rPr>
      <w:rFonts w:ascii="Times New Roman" w:hAnsi="Times New Roman" w:cs="Times New Roman"/>
      <w:sz w:val="20"/>
      <w:szCs w:val="20"/>
    </w:rPr>
  </w:style>
  <w:style w:type="character" w:styleId="WW8Num14z1">
    <w:name w:val="WW8Num14z1"/>
    <w:qFormat/>
    <w:rPr/>
  </w:style>
  <w:style w:type="character" w:styleId="WW8Num15z0">
    <w:name w:val="WW8Num15z0"/>
    <w:qFormat/>
    <w:rPr>
      <w:rFonts w:ascii="Times New Roman" w:hAnsi="Times New Roman" w:cs="Times New Roman"/>
      <w:sz w:val="20"/>
      <w:szCs w:val="20"/>
    </w:rPr>
  </w:style>
  <w:style w:type="character" w:styleId="WW8Num15z1">
    <w:name w:val="WW8Num15z1"/>
    <w:qFormat/>
    <w:rPr/>
  </w:style>
  <w:style w:type="character" w:styleId="WW8Num16z0">
    <w:name w:val="WW8Num16z0"/>
    <w:qFormat/>
    <w:rPr>
      <w:rFonts w:ascii="Times New Roman" w:hAnsi="Times New Roman" w:cs="Times New Roman"/>
      <w:sz w:val="24"/>
      <w:szCs w:val="20"/>
      <w:lang w:val="es-VE"/>
    </w:rPr>
  </w:style>
  <w:style w:type="character" w:styleId="WW8Num16z1">
    <w:name w:val="WW8Num16z1"/>
    <w:qFormat/>
    <w:rPr/>
  </w:style>
  <w:style w:type="character" w:styleId="WW8Num17z0">
    <w:name w:val="WW8Num17z0"/>
    <w:qFormat/>
    <w:rPr/>
  </w:style>
  <w:style w:type="character" w:styleId="WW8Num18z0">
    <w:name w:val="WW8Num18z0"/>
    <w:qFormat/>
    <w:rPr/>
  </w:style>
  <w:style w:type="character" w:styleId="WW8Num19z0">
    <w:name w:val="WW8Num19z0"/>
    <w:qFormat/>
    <w:rPr>
      <w:rFonts w:ascii="Times New Roman" w:hAnsi="Times New Roman" w:cs="Times New Roman"/>
      <w:sz w:val="20"/>
      <w:szCs w:val="20"/>
    </w:rPr>
  </w:style>
  <w:style w:type="character" w:styleId="WW8Num19z1">
    <w:name w:val="WW8Num19z1"/>
    <w:qFormat/>
    <w:rPr/>
  </w:style>
  <w:style w:type="character" w:styleId="WW8Num20z0">
    <w:name w:val="WW8Num20z0"/>
    <w:qFormat/>
    <w:rPr/>
  </w:style>
  <w:style w:type="character" w:styleId="WW8Num22z0">
    <w:name w:val="WW8Num22z0"/>
    <w:qFormat/>
    <w:rPr>
      <w:sz w:val="20"/>
      <w:szCs w:val="20"/>
    </w:rPr>
  </w:style>
  <w:style w:type="character" w:styleId="WW8Num22z1">
    <w:name w:val="WW8Num22z1"/>
    <w:qFormat/>
    <w:rPr/>
  </w:style>
  <w:style w:type="character" w:styleId="WW8Num23z0">
    <w:name w:val="WW8Num23z0"/>
    <w:qFormat/>
    <w:rPr>
      <w:rFonts w:ascii="Times New Roman" w:hAnsi="Times New Roman" w:cs="Times New Roman"/>
      <w:sz w:val="20"/>
      <w:szCs w:val="20"/>
    </w:rPr>
  </w:style>
  <w:style w:type="character" w:styleId="WW8Num23z1">
    <w:name w:val="WW8Num23z1"/>
    <w:qFormat/>
    <w:rPr/>
  </w:style>
  <w:style w:type="character" w:styleId="WW8Num24z0">
    <w:name w:val="WW8Num24z0"/>
    <w:qFormat/>
    <w:rPr/>
  </w:style>
  <w:style w:type="character" w:styleId="WW8Num26z0">
    <w:name w:val="WW8Num26z0"/>
    <w:qFormat/>
    <w:rPr>
      <w:rFonts w:ascii="Symbol" w:hAnsi="Symbol" w:cs="Symbol"/>
    </w:rPr>
  </w:style>
  <w:style w:type="character" w:styleId="WW8Num26z1">
    <w:name w:val="WW8Num26z1"/>
    <w:qFormat/>
    <w:rPr/>
  </w:style>
  <w:style w:type="character" w:styleId="WW8Num27z0">
    <w:name w:val="WW8Num27z0"/>
    <w:qFormat/>
    <w:rPr>
      <w:rFonts w:ascii="Times New Roman" w:hAnsi="Times New Roman" w:cs="Times New Roman"/>
      <w:sz w:val="20"/>
      <w:szCs w:val="20"/>
    </w:rPr>
  </w:style>
  <w:style w:type="character" w:styleId="WW8Num27z1">
    <w:name w:val="WW8Num27z1"/>
    <w:qFormat/>
    <w:rPr/>
  </w:style>
  <w:style w:type="character" w:styleId="WW8Num28z0">
    <w:name w:val="WW8Num28z0"/>
    <w:qFormat/>
    <w:rPr>
      <w:rFonts w:ascii="Times New Roman" w:hAnsi="Times New Roman" w:cs="Times New Roman"/>
      <w:sz w:val="22"/>
      <w:szCs w:val="22"/>
    </w:rPr>
  </w:style>
  <w:style w:type="character" w:styleId="WW8Num28z1">
    <w:name w:val="WW8Num28z1"/>
    <w:qFormat/>
    <w:rPr/>
  </w:style>
  <w:style w:type="character" w:styleId="WW8Num29z0">
    <w:name w:val="WW8Num29z0"/>
    <w:qFormat/>
    <w:rPr>
      <w:rFonts w:ascii="Times New Roman" w:hAnsi="Times New Roman" w:cs="Times New Roman"/>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29z4">
    <w:name w:val="WW8Num29z4"/>
    <w:qFormat/>
    <w:rPr>
      <w:rFonts w:ascii="Courier New" w:hAnsi="Courier New" w:cs="Courier New"/>
    </w:rPr>
  </w:style>
  <w:style w:type="character" w:styleId="WW8Num30z0">
    <w:name w:val="WW8Num30z0"/>
    <w:qFormat/>
    <w:rPr>
      <w:rFonts w:ascii="Times New Roman" w:hAnsi="Times New Roman" w:cs="Times New Roman"/>
      <w:sz w:val="20"/>
      <w:szCs w:val="20"/>
    </w:rPr>
  </w:style>
  <w:style w:type="character" w:styleId="WW8Num30z1">
    <w:name w:val="WW8Num30z1"/>
    <w:qFormat/>
    <w:rPr/>
  </w:style>
  <w:style w:type="character" w:styleId="WW8Num31z0">
    <w:name w:val="WW8Num31z0"/>
    <w:qFormat/>
    <w:rPr>
      <w:rFonts w:ascii="Times New Roman" w:hAnsi="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Times New Roman" w:hAnsi="Times New Roman" w:cs="Times New Roman"/>
      <w:sz w:val="20"/>
      <w:szCs w:val="20"/>
    </w:rPr>
  </w:style>
  <w:style w:type="character" w:styleId="WW8Num32z1">
    <w:name w:val="WW8Num32z1"/>
    <w:qFormat/>
    <w:rPr/>
  </w:style>
  <w:style w:type="character" w:styleId="WW8Num33z0">
    <w:name w:val="WW8Num33z0"/>
    <w:qFormat/>
    <w:rPr>
      <w:rFonts w:ascii="Symbol" w:hAnsi="Symbol" w:cs="Symbol"/>
      <w:sz w:val="20"/>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3z4">
    <w:name w:val="WW8Num33z4"/>
    <w:qFormat/>
    <w:rPr>
      <w:rFonts w:ascii="Courier New" w:hAnsi="Courier New" w:cs="Courier New"/>
    </w:rPr>
  </w:style>
  <w:style w:type="character" w:styleId="WW8Num34z0">
    <w:name w:val="WW8Num34z0"/>
    <w:qFormat/>
    <w:rPr>
      <w:rFonts w:ascii="Symbol" w:hAnsi="Symbol" w:cs="Symbol"/>
    </w:rPr>
  </w:style>
  <w:style w:type="character" w:styleId="WW8Num34z1">
    <w:name w:val="WW8Num34z1"/>
    <w:qFormat/>
    <w:rPr/>
  </w:style>
  <w:style w:type="character" w:styleId="WW8Num35z0">
    <w:name w:val="WW8Num35z0"/>
    <w:qFormat/>
    <w:rPr>
      <w:rFonts w:ascii="Times New Roman" w:hAnsi="Times New Roman" w:cs="Times New Roman"/>
      <w:sz w:val="20"/>
      <w:szCs w:val="20"/>
    </w:rPr>
  </w:style>
  <w:style w:type="character" w:styleId="WW8Num35z1">
    <w:name w:val="WW8Num35z1"/>
    <w:qFormat/>
    <w:rPr/>
  </w:style>
  <w:style w:type="character" w:styleId="WW8Num36z0">
    <w:name w:val="WW8Num36z0"/>
    <w:qFormat/>
    <w:rPr>
      <w:sz w:val="20"/>
      <w:szCs w:val="20"/>
    </w:rPr>
  </w:style>
  <w:style w:type="character" w:styleId="WW8Num36z1">
    <w:name w:val="WW8Num36z1"/>
    <w:qFormat/>
    <w:rPr/>
  </w:style>
  <w:style w:type="character" w:styleId="WW8Num37z0">
    <w:name w:val="WW8Num37z0"/>
    <w:qFormat/>
    <w:rPr>
      <w:sz w:val="20"/>
      <w:szCs w:val="20"/>
    </w:rPr>
  </w:style>
  <w:style w:type="character" w:styleId="WW8Num37z1">
    <w:name w:val="WW8Num37z1"/>
    <w:qFormat/>
    <w:rPr/>
  </w:style>
  <w:style w:type="character" w:styleId="Fuentedeprrafopredeter">
    <w:name w:val="Fuente de párrafo predeter."/>
    <w:qFormat/>
    <w:rPr/>
  </w:style>
  <w:style w:type="character" w:styleId="EnlacedeInternetvisitado">
    <w:name w:val="Enlace de Internet visitado"/>
    <w:rPr>
      <w:color w:val="000000"/>
      <w:u w:val="none"/>
    </w:rPr>
  </w:style>
  <w:style w:type="character" w:styleId="EnlacedeInternet">
    <w:name w:val="Enlace de Internet"/>
    <w:rPr>
      <w:color w:val="000000"/>
      <w:u w:val="none"/>
    </w:rPr>
  </w:style>
  <w:style w:type="character" w:styleId="Italic">
    <w:name w:val="italic"/>
    <w:qFormat/>
    <w:rPr>
      <w:i/>
      <w:iCs/>
    </w:rPr>
  </w:style>
  <w:style w:type="character" w:styleId="Initial12">
    <w:name w:val="initial_12"/>
    <w:qFormat/>
    <w:rPr>
      <w:sz w:val="24"/>
      <w:szCs w:val="24"/>
    </w:rPr>
  </w:style>
  <w:style w:type="character" w:styleId="Initial10">
    <w:name w:val="initial_10"/>
    <w:qFormat/>
    <w:rPr>
      <w:sz w:val="20"/>
      <w:szCs w:val="20"/>
    </w:rPr>
  </w:style>
  <w:style w:type="character" w:styleId="Bold">
    <w:name w:val="bold"/>
    <w:qFormat/>
    <w:rPr>
      <w:b/>
    </w:rPr>
  </w:style>
  <w:style w:type="character" w:styleId="Initial8">
    <w:name w:val="initial_8"/>
    <w:qFormat/>
    <w:rPr>
      <w:caps/>
      <w:sz w:val="16"/>
      <w:szCs w:val="16"/>
    </w:rPr>
  </w:style>
  <w:style w:type="character" w:styleId="AufzhlungszeichenZchn1">
    <w:name w:val="Aufzählungszeichen Zchn1"/>
    <w:qFormat/>
    <w:rPr>
      <w:rFonts w:eastAsia="Batang;바탕"/>
      <w:lang w:val="en-US" w:bidi="ar-SA"/>
    </w:rPr>
  </w:style>
  <w:style w:type="character" w:styleId="TimesNewRoman">
    <w:name w:val="TimesNewRoman"/>
    <w:qFormat/>
    <w:rPr>
      <w:rFonts w:ascii="Times New Roman" w:hAnsi="Times New Roman" w:cs="Times New Roman"/>
    </w:rPr>
  </w:style>
  <w:style w:type="character" w:styleId="Caracteresdenotaalpie">
    <w:name w:val="Caracteres de nota al pie"/>
    <w:qFormat/>
    <w:rPr>
      <w:vertAlign w:val="superscript"/>
    </w:rPr>
  </w:style>
  <w:style w:type="character" w:styleId="Destacado">
    <w:name w:val="Destacado"/>
    <w:qFormat/>
    <w:rPr>
      <w:i/>
      <w:iCs/>
    </w:rPr>
  </w:style>
  <w:style w:type="character" w:styleId="Caracteresdenotafinal">
    <w:name w:val="Caracteres de nota final"/>
    <w:qFormat/>
    <w:rPr>
      <w:vertAlign w:val="superscript"/>
    </w:rPr>
  </w:style>
  <w:style w:type="character" w:styleId="Nmerodepgina">
    <w:name w:val="Número de página"/>
    <w:basedOn w:val="Fuentedeprrafopredeter"/>
    <w:rPr/>
  </w:style>
  <w:style w:type="character" w:styleId="Symbol">
    <w:name w:val="symbol"/>
    <w:qFormat/>
    <w:rPr>
      <w:rFonts w:ascii="Symbol" w:hAnsi="Symbol" w:cs="Symbol"/>
    </w:rPr>
  </w:style>
  <w:style w:type="character" w:styleId="Symbolitalic">
    <w:name w:val="symbol_italic"/>
    <w:qFormat/>
    <w:rPr>
      <w:rFonts w:ascii="Symbol" w:hAnsi="Symbol" w:cs="Symbol"/>
      <w:i/>
    </w:rPr>
  </w:style>
  <w:style w:type="character" w:styleId="AufzhlungszeichenZchn">
    <w:name w:val="Aufzählungszeichen Zchn"/>
    <w:qFormat/>
    <w:rPr>
      <w:lang w:val="en-US" w:bidi="ar-SA"/>
    </w:rPr>
  </w:style>
  <w:style w:type="character" w:styleId="Berschrift1Zchn">
    <w:name w:val="Überschrift 1 Zchn"/>
    <w:qFormat/>
    <w:rPr>
      <w:rFonts w:cs="Arial"/>
      <w:bCs/>
      <w:caps/>
      <w:kern w:val="2"/>
      <w:sz w:val="16"/>
      <w:szCs w:val="16"/>
      <w:lang w:val="en-US" w:bidi="ar-SA"/>
    </w:rPr>
  </w:style>
  <w:style w:type="character" w:styleId="Berschrift2Zchn">
    <w:name w:val="Überschrift 2 Zchn"/>
    <w:qFormat/>
    <w:rPr>
      <w:rFonts w:cs="Arial"/>
      <w:bCs/>
      <w:i/>
      <w:iCs/>
      <w:caps/>
      <w:kern w:val="2"/>
      <w:sz w:val="16"/>
      <w:szCs w:val="16"/>
      <w:lang w:val="en-US" w:bidi="ar-SA"/>
    </w:rPr>
  </w:style>
  <w:style w:type="character" w:styleId="Heading2Zchn">
    <w:name w:val="heading2 Zchn"/>
    <w:basedOn w:val="Berschrift2Zchn"/>
    <w:qFormat/>
    <w:rPr/>
  </w:style>
  <w:style w:type="character" w:styleId="Heading2heading1Zchn">
    <w:name w:val="heading2_heading1 Zchn"/>
    <w:basedOn w:val="Heading2Zchn"/>
    <w:qFormat/>
    <w:rPr/>
  </w:style>
  <w:style w:type="character" w:styleId="AbsatzNormal">
    <w:name w:val="AbsatzNormal"/>
    <w:basedOn w:val="Fuentedeprrafopredeter"/>
    <w:qFormat/>
    <w:rPr/>
  </w:style>
  <w:style w:type="character" w:styleId="Refdecomentario">
    <w:name w:val="Ref. de comentario"/>
    <w:qFormat/>
    <w:rPr>
      <w:sz w:val="16"/>
      <w:szCs w:val="16"/>
    </w:rPr>
  </w:style>
  <w:style w:type="character" w:styleId="Superscript">
    <w:name w:val="superscript"/>
    <w:qFormat/>
    <w:rPr>
      <w:vertAlign w:val="superscript"/>
    </w:rPr>
  </w:style>
  <w:style w:type="character" w:styleId="AcrnimoHTML">
    <w:name w:val="Acrónimo HTML"/>
    <w:basedOn w:val="Fuentedeprrafopredeter"/>
    <w:qFormat/>
    <w:rPr/>
  </w:style>
  <w:style w:type="character" w:styleId="Destaquemayor">
    <w:name w:val="Destaque mayor"/>
    <w:qFormat/>
    <w:rPr>
      <w:b/>
      <w:bCs/>
    </w:rPr>
  </w:style>
  <w:style w:type="character" w:styleId="Subscript">
    <w:name w:val="subscript"/>
    <w:qFormat/>
    <w:rPr>
      <w:vertAlign w:val="subscript"/>
    </w:rPr>
  </w:style>
  <w:style w:type="character" w:styleId="PiedepginaCar">
    <w:name w:val="Pie de página Car"/>
    <w:qFormat/>
    <w:rPr>
      <w:sz w:val="18"/>
      <w:lang w:val="en-US"/>
    </w:rPr>
  </w:style>
  <w:style w:type="character" w:styleId="Smbolosdenumeracin">
    <w:name w:val="Símbolos de numeración"/>
    <w:qFormat/>
    <w:rPr/>
  </w:style>
  <w:style w:type="paragraph" w:styleId="Ttulo">
    <w:name w:val="Título"/>
    <w:basedOn w:val="Normal"/>
    <w:next w:val="Cuerpodetexto"/>
    <w:qFormat/>
    <w:pPr>
      <w:numPr>
        <w:ilvl w:val="0"/>
        <w:numId w:val="0"/>
      </w:numPr>
      <w:spacing w:before="240" w:after="60"/>
      <w:ind w:left="0" w:right="0" w:firstLine="227"/>
      <w:jc w:val="center"/>
      <w:outlineLvl w:val="0"/>
    </w:pPr>
    <w:rPr>
      <w:rFonts w:ascii="Arial" w:hAnsi="Arial" w:cs="Arial"/>
      <w:b/>
      <w:bCs/>
      <w:kern w:val="2"/>
      <w:sz w:val="32"/>
      <w:szCs w:val="32"/>
    </w:rPr>
  </w:style>
  <w:style w:type="paragraph" w:styleId="Cuerpodetexto">
    <w:name w:val="Body Text"/>
    <w:basedOn w:val="Normal"/>
    <w:pPr/>
    <w:rPr/>
  </w:style>
  <w:style w:type="paragraph" w:styleId="Lista">
    <w:name w:val="List"/>
    <w:basedOn w:val="Normal"/>
    <w:pPr>
      <w:ind w:left="283" w:right="0" w:hanging="283"/>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Abstract">
    <w:name w:val="abstract"/>
    <w:next w:val="Keywords"/>
    <w:qFormat/>
    <w:pPr>
      <w:widowControl w:val="false"/>
      <w:suppressAutoHyphens w:val="true"/>
      <w:overflowPunct w:val="false"/>
      <w:bidi w:val="0"/>
      <w:spacing w:before="0" w:after="200"/>
      <w:ind w:left="0" w:right="0" w:firstLine="227"/>
      <w:contextualSpacing/>
      <w:jc w:val="both"/>
    </w:pPr>
    <w:rPr>
      <w:rFonts w:ascii="Times New Roman" w:hAnsi="Times New Roman" w:eastAsia="Batang;바탕" w:cs="Times New Roman"/>
      <w:b/>
      <w:color w:val="auto"/>
      <w:kern w:val="0"/>
      <w:sz w:val="18"/>
      <w:szCs w:val="18"/>
      <w:lang w:val="en-US" w:eastAsia="zh-CN" w:bidi="ar-SA"/>
    </w:rPr>
  </w:style>
  <w:style w:type="paragraph" w:styleId="Keywords">
    <w:name w:val="keywords"/>
    <w:next w:val="Normal"/>
    <w:qFormat/>
    <w:pPr>
      <w:widowControl/>
      <w:suppressAutoHyphens w:val="true"/>
      <w:overflowPunct w:val="false"/>
      <w:bidi w:val="0"/>
      <w:spacing w:before="0" w:after="400"/>
      <w:ind w:left="0" w:right="0" w:firstLine="227"/>
      <w:contextualSpacing/>
      <w:jc w:val="both"/>
    </w:pPr>
    <w:rPr>
      <w:rFonts w:ascii="Times New Roman" w:hAnsi="Times New Roman" w:eastAsia="Batang;바탕" w:cs="Times New Roman"/>
      <w:b/>
      <w:color w:val="auto"/>
      <w:kern w:val="0"/>
      <w:sz w:val="18"/>
      <w:szCs w:val="18"/>
      <w:lang w:val="en-US" w:eastAsia="zh-CN" w:bidi="ar-SA"/>
    </w:rPr>
  </w:style>
  <w:style w:type="paragraph" w:styleId="Authorinfo">
    <w:name w:val="authorinfo"/>
    <w:qFormat/>
    <w:pPr>
      <w:widowControl w:val="false"/>
      <w:suppressAutoHyphens w:val="true"/>
      <w:overflowPunct w:val="false"/>
      <w:bidi w:val="0"/>
      <w:spacing w:before="0" w:after="400"/>
      <w:contextualSpacing/>
      <w:jc w:val="center"/>
    </w:pPr>
    <w:rPr>
      <w:rFonts w:ascii="Times New Roman" w:hAnsi="Times New Roman" w:eastAsia="Batang;바탕" w:cs="Times New Roman"/>
      <w:color w:val="auto"/>
      <w:kern w:val="0"/>
      <w:sz w:val="18"/>
      <w:szCs w:val="20"/>
      <w:lang w:val="en-US" w:eastAsia="zh-CN" w:bidi="ar-SA"/>
    </w:rPr>
  </w:style>
  <w:style w:type="paragraph" w:styleId="Figure">
    <w:name w:val="figure"/>
    <w:basedOn w:val="Normal"/>
    <w:next w:val="Figlegend"/>
    <w:qFormat/>
    <w:pPr>
      <w:keepNext w:val="true"/>
      <w:keepLines/>
      <w:spacing w:before="300" w:after="100"/>
      <w:ind w:left="0" w:right="0" w:hanging="0"/>
      <w:jc w:val="center"/>
    </w:pPr>
    <w:rPr>
      <w:sz w:val="16"/>
    </w:rPr>
  </w:style>
  <w:style w:type="paragraph" w:styleId="Figlegend">
    <w:name w:val="figlegend"/>
    <w:next w:val="Normal"/>
    <w:qFormat/>
    <w:pPr>
      <w:keepLines/>
      <w:widowControl/>
      <w:suppressAutoHyphens w:val="true"/>
      <w:overflowPunct w:val="false"/>
      <w:bidi w:val="0"/>
      <w:spacing w:before="100" w:after="300"/>
      <w:contextualSpacing/>
      <w:jc w:val="center"/>
    </w:pPr>
    <w:rPr>
      <w:rFonts w:ascii="Times New Roman" w:hAnsi="Times New Roman" w:eastAsia="Batang;바탕" w:cs="Times New Roman"/>
      <w:color w:val="auto"/>
      <w:kern w:val="0"/>
      <w:sz w:val="16"/>
      <w:szCs w:val="16"/>
      <w:lang w:val="en-US" w:eastAsia="zh-CN" w:bidi="ar-SA"/>
    </w:rPr>
  </w:style>
  <w:style w:type="paragraph" w:styleId="Referenceavailable">
    <w:name w:val="reference_available"/>
    <w:basedOn w:val="Normal"/>
    <w:qFormat/>
    <w:pPr>
      <w:tabs>
        <w:tab w:val="clear" w:pos="340"/>
        <w:tab w:val="clear" w:pos="680"/>
      </w:tabs>
      <w:overflowPunct w:val="true"/>
      <w:ind w:left="340" w:right="0" w:hanging="0"/>
      <w:textAlignment w:val="baseline"/>
    </w:pPr>
    <w:rPr>
      <w:sz w:val="16"/>
      <w:szCs w:val="18"/>
      <w:lang w:bidi="he-IL"/>
    </w:rPr>
  </w:style>
  <w:style w:type="paragraph" w:styleId="Author">
    <w:name w:val="author"/>
    <w:next w:val="Authorinfo"/>
    <w:qFormat/>
    <w:pPr>
      <w:widowControl/>
      <w:suppressAutoHyphens w:val="true"/>
      <w:overflowPunct w:val="false"/>
      <w:bidi w:val="0"/>
      <w:spacing w:before="0" w:after="200"/>
      <w:contextualSpacing/>
      <w:jc w:val="center"/>
    </w:pPr>
    <w:rPr>
      <w:rFonts w:ascii="Times New Roman" w:hAnsi="Times New Roman" w:eastAsia="Batang;바탕" w:cs="Times New Roman"/>
      <w:color w:val="auto"/>
      <w:kern w:val="0"/>
      <w:sz w:val="24"/>
      <w:szCs w:val="24"/>
      <w:lang w:val="en-US" w:eastAsia="zh-CN" w:bidi="ar-SA"/>
    </w:rPr>
  </w:style>
  <w:style w:type="paragraph" w:styleId="Heading1">
    <w:name w:val="heading1"/>
    <w:basedOn w:val="Ttulo1"/>
    <w:next w:val="Normal"/>
    <w:qFormat/>
    <w:pPr>
      <w:numPr>
        <w:ilvl w:val="0"/>
        <w:numId w:val="3"/>
      </w:numPr>
    </w:pPr>
    <w:rPr/>
  </w:style>
  <w:style w:type="paragraph" w:styleId="Heading2">
    <w:name w:val="heading2"/>
    <w:basedOn w:val="Ttulo2"/>
    <w:next w:val="Normal"/>
    <w:qFormat/>
    <w:pPr>
      <w:numPr>
        <w:ilvl w:val="0"/>
        <w:numId w:val="3"/>
      </w:numPr>
    </w:pPr>
    <w:rPr/>
  </w:style>
  <w:style w:type="paragraph" w:styleId="Heading2heading1">
    <w:name w:val="heading2_heading1"/>
    <w:basedOn w:val="Heading2"/>
    <w:qFormat/>
    <w:pPr>
      <w:numPr>
        <w:ilvl w:val="0"/>
        <w:numId w:val="3"/>
      </w:numPr>
      <w:spacing w:before="0" w:after="150"/>
    </w:pPr>
    <w:rPr/>
  </w:style>
  <w:style w:type="paragraph" w:styleId="Title">
    <w:name w:val="title"/>
    <w:next w:val="Author"/>
    <w:qFormat/>
    <w:pPr>
      <w:keepLines/>
      <w:widowControl/>
      <w:suppressAutoHyphens w:val="true"/>
      <w:overflowPunct w:val="false"/>
      <w:bidi w:val="0"/>
      <w:spacing w:before="0" w:after="160"/>
      <w:contextualSpacing/>
      <w:jc w:val="center"/>
    </w:pPr>
    <w:rPr>
      <w:rFonts w:ascii="Times New Roman" w:hAnsi="Times New Roman" w:eastAsia="Batang;바탕" w:cs="Times New Roman"/>
      <w:b/>
      <w:color w:val="auto"/>
      <w:kern w:val="0"/>
      <w:sz w:val="28"/>
      <w:szCs w:val="28"/>
      <w:lang w:val="en-US" w:eastAsia="zh-CN" w:bidi="ar-SA"/>
    </w:rPr>
  </w:style>
  <w:style w:type="paragraph" w:styleId="Saludo">
    <w:name w:val="Saludo"/>
    <w:basedOn w:val="Normal"/>
    <w:next w:val="Normal"/>
    <w:qFormat/>
    <w:pPr/>
    <w:rPr/>
  </w:style>
  <w:style w:type="paragraph" w:styleId="Tablelegend">
    <w:name w:val="tablelegend"/>
    <w:basedOn w:val="Normal"/>
    <w:qFormat/>
    <w:pPr>
      <w:keepNext w:val="true"/>
      <w:keepLines/>
      <w:suppressAutoHyphens w:val="true"/>
      <w:spacing w:before="300" w:after="100"/>
      <w:ind w:left="0" w:right="0" w:hanging="0"/>
      <w:contextualSpacing/>
      <w:jc w:val="center"/>
    </w:pPr>
    <w:rPr>
      <w:sz w:val="16"/>
      <w:szCs w:val="16"/>
      <w:lang w:val="en-US" w:bidi="ar-SA"/>
    </w:rPr>
  </w:style>
  <w:style w:type="paragraph" w:styleId="Heading1withoutNr">
    <w:name w:val="heading1_withoutNr"/>
    <w:basedOn w:val="Heading1"/>
    <w:next w:val="ReferenceItem"/>
    <w:qFormat/>
    <w:pPr>
      <w:numPr>
        <w:ilvl w:val="0"/>
        <w:numId w:val="0"/>
      </w:numPr>
      <w:spacing w:before="360" w:after="180"/>
      <w:ind w:left="0" w:right="0" w:hanging="0"/>
    </w:pPr>
    <w:rPr/>
  </w:style>
  <w:style w:type="paragraph" w:styleId="ReferenceItem">
    <w:name w:val="reference_Item"/>
    <w:basedOn w:val="Normal"/>
    <w:qFormat/>
    <w:pPr>
      <w:keepLines/>
      <w:ind w:left="340" w:right="0" w:hanging="340"/>
    </w:pPr>
    <w:rPr>
      <w:rFonts w:eastAsia="MS Mincho;ＭＳ 明朝"/>
      <w:sz w:val="16"/>
      <w:szCs w:val="16"/>
    </w:rPr>
  </w:style>
  <w:style w:type="paragraph" w:styleId="Tabletext">
    <w:name w:val="table_text"/>
    <w:basedOn w:val="Normal"/>
    <w:qFormat/>
    <w:pPr>
      <w:ind w:left="0" w:right="0" w:hanging="0"/>
      <w:jc w:val="left"/>
    </w:pPr>
    <w:rPr>
      <w:sz w:val="16"/>
    </w:rPr>
  </w:style>
  <w:style w:type="paragraph" w:styleId="Tabletextcentre">
    <w:name w:val="table_text_centre"/>
    <w:basedOn w:val="Tabletext"/>
    <w:qFormat/>
    <w:pPr>
      <w:jc w:val="center"/>
    </w:pPr>
    <w:rPr/>
  </w:style>
  <w:style w:type="paragraph" w:styleId="Tabletextright">
    <w:name w:val="table_text_right"/>
    <w:basedOn w:val="Tabletext"/>
    <w:qFormat/>
    <w:pPr>
      <w:jc w:val="right"/>
    </w:pPr>
    <w:rPr/>
  </w:style>
  <w:style w:type="paragraph" w:styleId="Listaconvietas">
    <w:name w:val="Lista con viñetas"/>
    <w:basedOn w:val="Normal"/>
    <w:qFormat/>
    <w:pPr>
      <w:tabs>
        <w:tab w:val="clear" w:pos="340"/>
        <w:tab w:val="left" w:pos="360" w:leader="none"/>
        <w:tab w:val="left" w:pos="680" w:leader="none"/>
      </w:tabs>
      <w:ind w:left="360" w:right="0" w:hanging="360"/>
    </w:pPr>
    <w:rPr/>
  </w:style>
  <w:style w:type="paragraph" w:styleId="Listaconvietas2">
    <w:name w:val="Lista con viñetas 2"/>
    <w:basedOn w:val="Normal"/>
    <w:qFormat/>
    <w:pPr>
      <w:numPr>
        <w:ilvl w:val="0"/>
        <w:numId w:val="2"/>
      </w:numPr>
    </w:pPr>
    <w:rPr/>
  </w:style>
  <w:style w:type="paragraph" w:styleId="Listaconvietas3">
    <w:name w:val="Lista con viñetas 3"/>
    <w:basedOn w:val="Normal"/>
    <w:qFormat/>
    <w:pPr>
      <w:numPr>
        <w:ilvl w:val="0"/>
        <w:numId w:val="1"/>
      </w:numPr>
    </w:pPr>
    <w:rPr/>
  </w:style>
  <w:style w:type="paragraph" w:styleId="Standard1pt">
    <w:name w:val="Standard-1pt"/>
    <w:basedOn w:val="Normal"/>
    <w:qFormat/>
    <w:pPr/>
    <w:rPr>
      <w:sz w:val="18"/>
    </w:rPr>
  </w:style>
  <w:style w:type="paragraph" w:styleId="Notaalpie">
    <w:name w:val="Footnote Text"/>
    <w:basedOn w:val="Standard1pt"/>
    <w:pPr>
      <w:tabs>
        <w:tab w:val="clear" w:pos="340"/>
        <w:tab w:val="clear" w:pos="680"/>
        <w:tab w:val="left" w:pos="170" w:leader="none"/>
      </w:tabs>
      <w:ind w:left="170" w:right="0" w:hanging="170"/>
    </w:pPr>
    <w:rPr/>
  </w:style>
  <w:style w:type="paragraph" w:styleId="Equation">
    <w:name w:val="equation"/>
    <w:qFormat/>
    <w:pPr>
      <w:widowControl/>
      <w:tabs>
        <w:tab w:val="clear" w:pos="709"/>
        <w:tab w:val="center" w:pos="2421" w:leader="none"/>
        <w:tab w:val="right" w:pos="4848" w:leader="none"/>
      </w:tabs>
      <w:suppressAutoHyphens w:val="true"/>
      <w:overflowPunct w:val="false"/>
      <w:bidi w:val="0"/>
      <w:spacing w:before="120" w:after="120"/>
      <w:jc w:val="left"/>
    </w:pPr>
    <w:rPr>
      <w:rFonts w:ascii="Times New Roman" w:hAnsi="Times New Roman" w:eastAsia="Batang;바탕" w:cs="Times New Roman"/>
      <w:iCs/>
      <w:color w:val="auto"/>
      <w:kern w:val="0"/>
      <w:sz w:val="20"/>
      <w:szCs w:val="20"/>
      <w:lang w:val="en-US" w:eastAsia="zh-CN" w:bidi="ar-SA"/>
    </w:rPr>
  </w:style>
  <w:style w:type="paragraph" w:styleId="Thanks">
    <w:name w:val="thanks"/>
    <w:basedOn w:val="Normal"/>
    <w:qFormat/>
    <w:pPr>
      <w:ind w:left="0" w:right="0" w:hanging="0"/>
    </w:pPr>
    <w:rPr>
      <w:sz w:val="16"/>
      <w:szCs w:val="16"/>
    </w:rPr>
  </w:style>
  <w:style w:type="paragraph" w:styleId="Listaconvietas4">
    <w:name w:val="Lista con viñetas 4"/>
    <w:basedOn w:val="Normal"/>
    <w:qFormat/>
    <w:pPr>
      <w:tabs>
        <w:tab w:val="left" w:pos="340" w:leader="none"/>
        <w:tab w:val="left" w:pos="680" w:leader="none"/>
        <w:tab w:val="left" w:pos="1209" w:leader="none"/>
      </w:tabs>
      <w:ind w:left="1209" w:right="0" w:hanging="360"/>
    </w:pPr>
    <w:rPr/>
  </w:style>
  <w:style w:type="paragraph" w:styleId="Authoraddressline1">
    <w:name w:val="author_address_line1"/>
    <w:next w:val="Authoraddress"/>
    <w:qFormat/>
    <w:pPr>
      <w:widowControl/>
      <w:suppressAutoHyphens w:val="true"/>
      <w:overflowPunct w:val="false"/>
      <w:bidi w:val="0"/>
      <w:spacing w:before="360" w:after="180"/>
      <w:ind w:left="340" w:right="0" w:hanging="0"/>
      <w:contextualSpacing/>
      <w:jc w:val="left"/>
    </w:pPr>
    <w:rPr>
      <w:rFonts w:ascii="Times New Roman" w:hAnsi="Times New Roman" w:eastAsia="Batang;바탕" w:cs="Times New Roman"/>
      <w:color w:val="auto"/>
      <w:kern w:val="0"/>
      <w:sz w:val="16"/>
      <w:szCs w:val="20"/>
      <w:lang w:val="en-US" w:eastAsia="zh-CN" w:bidi="ar-SA"/>
    </w:rPr>
  </w:style>
  <w:style w:type="paragraph" w:styleId="Authoraddress">
    <w:name w:val="author_address"/>
    <w:qFormat/>
    <w:pPr>
      <w:widowControl/>
      <w:tabs>
        <w:tab w:val="clear" w:pos="709"/>
        <w:tab w:val="left" w:pos="964" w:leader="none"/>
      </w:tabs>
      <w:suppressAutoHyphens w:val="true"/>
      <w:overflowPunct w:val="false"/>
      <w:bidi w:val="0"/>
      <w:spacing w:before="0" w:after="0"/>
      <w:ind w:left="964" w:right="0" w:hanging="624"/>
      <w:jc w:val="left"/>
    </w:pPr>
    <w:rPr>
      <w:rFonts w:ascii="Times New Roman" w:hAnsi="Times New Roman" w:eastAsia="Batang;바탕" w:cs="Times New Roman"/>
      <w:color w:val="auto"/>
      <w:kern w:val="0"/>
      <w:sz w:val="16"/>
      <w:szCs w:val="20"/>
      <w:lang w:val="en-US" w:eastAsia="ja-JP" w:bidi="ar-SA"/>
    </w:rPr>
  </w:style>
  <w:style w:type="paragraph" w:styleId="Tablenotes">
    <w:name w:val="tablenotes"/>
    <w:basedOn w:val="Tablelegend"/>
    <w:qFormat/>
    <w:pPr>
      <w:keepNext w:val="false"/>
      <w:spacing w:before="100" w:after="300"/>
      <w:contextualSpacing/>
      <w:jc w:val="left"/>
    </w:pPr>
    <w:rPr/>
  </w:style>
  <w:style w:type="paragraph" w:styleId="Listaconvietas5">
    <w:name w:val="Lista con viñetas 5"/>
    <w:basedOn w:val="Normal"/>
    <w:qFormat/>
    <w:pPr>
      <w:tabs>
        <w:tab w:val="left" w:pos="340" w:leader="none"/>
        <w:tab w:val="left" w:pos="680" w:leader="none"/>
        <w:tab w:val="left" w:pos="1492" w:leader="none"/>
      </w:tabs>
      <w:ind w:left="1492" w:right="0" w:hanging="360"/>
    </w:pPr>
    <w:rPr/>
  </w:style>
  <w:style w:type="paragraph" w:styleId="Textodebloque">
    <w:name w:val="Texto de bloque"/>
    <w:basedOn w:val="Normal"/>
    <w:qFormat/>
    <w:pPr/>
    <w:rPr/>
  </w:style>
  <w:style w:type="paragraph" w:styleId="Fecha">
    <w:name w:val="Fecha"/>
    <w:basedOn w:val="Normal"/>
    <w:next w:val="Normal"/>
    <w:qFormat/>
    <w:pPr/>
    <w:rPr/>
  </w:style>
  <w:style w:type="paragraph" w:styleId="Mapadeldocumento">
    <w:name w:val="Mapa del documento"/>
    <w:basedOn w:val="Normal"/>
    <w:qFormat/>
    <w:pPr>
      <w:shd w:val="clear" w:fill="000080"/>
    </w:pPr>
    <w:rPr>
      <w:rFonts w:ascii="Tahoma" w:hAnsi="Tahoma" w:cs="Tahoma"/>
    </w:rPr>
  </w:style>
  <w:style w:type="paragraph" w:styleId="Encabezadodenota">
    <w:name w:val="Encabezado de nota"/>
    <w:basedOn w:val="Standard1pt"/>
    <w:next w:val="Normal"/>
    <w:qFormat/>
    <w:pPr>
      <w:ind w:left="0" w:right="0" w:hanging="0"/>
    </w:pPr>
    <w:rPr/>
  </w:style>
  <w:style w:type="paragraph" w:styleId="Cabeceraypie">
    <w:name w:val="Cabecera y pie"/>
    <w:basedOn w:val="Normal"/>
    <w:qFormat/>
    <w:pPr>
      <w:suppressLineNumbers/>
      <w:tabs>
        <w:tab w:val="clear" w:pos="340"/>
        <w:tab w:val="clear" w:pos="680"/>
        <w:tab w:val="center" w:pos="4986" w:leader="none"/>
        <w:tab w:val="right" w:pos="9972" w:leader="none"/>
      </w:tabs>
    </w:pPr>
    <w:rPr/>
  </w:style>
  <w:style w:type="paragraph" w:styleId="Piedepgina">
    <w:name w:val="Footer"/>
    <w:basedOn w:val="Standard1pt"/>
    <w:pPr>
      <w:tabs>
        <w:tab w:val="clear" w:pos="340"/>
        <w:tab w:val="clear" w:pos="680"/>
      </w:tabs>
      <w:ind w:left="0" w:right="0" w:hanging="0"/>
      <w:jc w:val="left"/>
    </w:pPr>
    <w:rPr/>
  </w:style>
  <w:style w:type="paragraph" w:styleId="Cierre">
    <w:name w:val="Cierre"/>
    <w:basedOn w:val="Normal"/>
    <w:qFormat/>
    <w:pPr>
      <w:ind w:left="4252" w:right="0" w:firstLine="227"/>
    </w:pPr>
    <w:rPr/>
  </w:style>
  <w:style w:type="paragraph" w:styleId="Tabladeilustraciones">
    <w:name w:val="Tabla de ilustraciones"/>
    <w:basedOn w:val="Normal"/>
    <w:next w:val="Normal"/>
    <w:qFormat/>
    <w:pPr>
      <w:tabs>
        <w:tab w:val="clear" w:pos="340"/>
        <w:tab w:val="clear" w:pos="680"/>
      </w:tabs>
    </w:pPr>
    <w:rPr/>
  </w:style>
  <w:style w:type="paragraph" w:styleId="Epgrafe">
    <w:name w:val="Epígrafe"/>
    <w:basedOn w:val="Normal"/>
    <w:next w:val="Normal"/>
    <w:qFormat/>
    <w:pPr/>
    <w:rPr>
      <w:bCs/>
    </w:rPr>
  </w:style>
  <w:style w:type="paragraph" w:styleId="Notafinal">
    <w:name w:val="Endnote Text"/>
    <w:basedOn w:val="Normal"/>
    <w:pPr/>
    <w:rPr/>
  </w:style>
  <w:style w:type="paragraph" w:styleId="Ndice1">
    <w:name w:val="Index 1"/>
    <w:basedOn w:val="Normal"/>
    <w:next w:val="Normal"/>
    <w:pPr>
      <w:tabs>
        <w:tab w:val="clear" w:pos="340"/>
        <w:tab w:val="clear" w:pos="680"/>
      </w:tabs>
      <w:ind w:left="200" w:right="0" w:hanging="200"/>
    </w:pPr>
    <w:rPr/>
  </w:style>
  <w:style w:type="paragraph" w:styleId="Ndice2">
    <w:name w:val="Index 2"/>
    <w:basedOn w:val="Normal"/>
    <w:next w:val="Normal"/>
    <w:pPr>
      <w:tabs>
        <w:tab w:val="clear" w:pos="340"/>
        <w:tab w:val="clear" w:pos="680"/>
      </w:tabs>
      <w:ind w:left="400" w:right="0" w:hanging="200"/>
    </w:pPr>
    <w:rPr/>
  </w:style>
  <w:style w:type="paragraph" w:styleId="Ndice3">
    <w:name w:val="Index 3"/>
    <w:basedOn w:val="Normal"/>
    <w:next w:val="Normal"/>
    <w:pPr>
      <w:tabs>
        <w:tab w:val="clear" w:pos="340"/>
        <w:tab w:val="clear" w:pos="680"/>
      </w:tabs>
      <w:ind w:left="600" w:right="0" w:hanging="200"/>
    </w:pPr>
    <w:rPr/>
  </w:style>
  <w:style w:type="paragraph" w:styleId="Ndice4">
    <w:name w:val="Índice 4"/>
    <w:basedOn w:val="Normal"/>
    <w:next w:val="Normal"/>
    <w:qFormat/>
    <w:pPr>
      <w:tabs>
        <w:tab w:val="clear" w:pos="340"/>
        <w:tab w:val="clear" w:pos="680"/>
      </w:tabs>
      <w:ind w:left="800" w:right="0" w:hanging="200"/>
    </w:pPr>
    <w:rPr/>
  </w:style>
  <w:style w:type="paragraph" w:styleId="Ndice5">
    <w:name w:val="Índice 5"/>
    <w:basedOn w:val="Normal"/>
    <w:next w:val="Normal"/>
    <w:qFormat/>
    <w:pPr>
      <w:tabs>
        <w:tab w:val="clear" w:pos="340"/>
        <w:tab w:val="clear" w:pos="680"/>
      </w:tabs>
      <w:ind w:left="1000" w:right="0" w:hanging="200"/>
    </w:pPr>
    <w:rPr/>
  </w:style>
  <w:style w:type="paragraph" w:styleId="Ndice6">
    <w:name w:val="Índice 6"/>
    <w:basedOn w:val="Normal"/>
    <w:next w:val="Normal"/>
    <w:qFormat/>
    <w:pPr>
      <w:tabs>
        <w:tab w:val="clear" w:pos="340"/>
        <w:tab w:val="clear" w:pos="680"/>
      </w:tabs>
      <w:ind w:left="1200" w:right="0" w:hanging="200"/>
    </w:pPr>
    <w:rPr/>
  </w:style>
  <w:style w:type="paragraph" w:styleId="Cabecera">
    <w:name w:val="Header"/>
    <w:basedOn w:val="Standard1pt"/>
    <w:pPr>
      <w:tabs>
        <w:tab w:val="clear" w:pos="340"/>
        <w:tab w:val="clear" w:pos="680"/>
        <w:tab w:val="left" w:pos="10036" w:leader="none"/>
      </w:tabs>
      <w:ind w:left="0" w:right="0" w:hanging="0"/>
      <w:jc w:val="left"/>
    </w:pPr>
    <w:rPr/>
  </w:style>
  <w:style w:type="paragraph" w:styleId="ListBullet3">
    <w:name w:val="List Bullet 3"/>
    <w:basedOn w:val="Normal"/>
    <w:qFormat/>
    <w:pPr>
      <w:ind w:left="566" w:right="0" w:hanging="283"/>
    </w:pPr>
    <w:rPr/>
  </w:style>
  <w:style w:type="paragraph" w:styleId="ListBullet4">
    <w:name w:val="List Bullet 4"/>
    <w:basedOn w:val="Normal"/>
    <w:qFormat/>
    <w:pPr>
      <w:ind w:left="849" w:right="0" w:hanging="283"/>
    </w:pPr>
    <w:rPr/>
  </w:style>
  <w:style w:type="paragraph" w:styleId="ListBullet5">
    <w:name w:val="List Bullet 5"/>
    <w:basedOn w:val="Normal"/>
    <w:qFormat/>
    <w:pPr>
      <w:ind w:left="1132" w:right="0" w:hanging="283"/>
    </w:pPr>
    <w:rPr/>
  </w:style>
  <w:style w:type="paragraph" w:styleId="ListNumber">
    <w:name w:val="List Number"/>
    <w:basedOn w:val="Normal"/>
    <w:qFormat/>
    <w:pPr>
      <w:ind w:left="1415" w:right="0" w:hanging="283"/>
    </w:pPr>
    <w:rPr/>
  </w:style>
  <w:style w:type="paragraph" w:styleId="Continuarlista">
    <w:name w:val="Continuar lista"/>
    <w:basedOn w:val="Normal"/>
    <w:qFormat/>
    <w:pPr>
      <w:spacing w:before="0" w:after="120"/>
      <w:ind w:left="283" w:right="0" w:firstLine="227"/>
    </w:pPr>
    <w:rPr/>
  </w:style>
  <w:style w:type="paragraph" w:styleId="Continuarlista2">
    <w:name w:val="Continuar lista 2"/>
    <w:basedOn w:val="Normal"/>
    <w:qFormat/>
    <w:pPr>
      <w:spacing w:before="0" w:after="120"/>
      <w:ind w:left="566" w:right="0" w:firstLine="227"/>
    </w:pPr>
    <w:rPr/>
  </w:style>
  <w:style w:type="paragraph" w:styleId="Continuarlista3">
    <w:name w:val="Continuar lista 3"/>
    <w:basedOn w:val="Normal"/>
    <w:qFormat/>
    <w:pPr>
      <w:spacing w:before="0" w:after="120"/>
      <w:ind w:left="849" w:right="0" w:firstLine="227"/>
    </w:pPr>
    <w:rPr/>
  </w:style>
  <w:style w:type="paragraph" w:styleId="Continuarlista4">
    <w:name w:val="Continuar lista 4"/>
    <w:basedOn w:val="Normal"/>
    <w:qFormat/>
    <w:pPr>
      <w:spacing w:before="0" w:after="120"/>
      <w:ind w:left="1132" w:right="0" w:firstLine="227"/>
    </w:pPr>
    <w:rPr/>
  </w:style>
  <w:style w:type="paragraph" w:styleId="Continuarlista5">
    <w:name w:val="Continuar lista 5"/>
    <w:basedOn w:val="Normal"/>
    <w:qFormat/>
    <w:pPr>
      <w:spacing w:before="0" w:after="120"/>
      <w:ind w:left="1415" w:right="0" w:firstLine="227"/>
    </w:pPr>
    <w:rPr/>
  </w:style>
  <w:style w:type="paragraph" w:styleId="Listaconnmeros">
    <w:name w:val="Lista con números"/>
    <w:basedOn w:val="Normal"/>
    <w:qFormat/>
    <w:pPr>
      <w:tabs>
        <w:tab w:val="clear" w:pos="340"/>
        <w:tab w:val="left" w:pos="360" w:leader="none"/>
        <w:tab w:val="left" w:pos="680" w:leader="none"/>
      </w:tabs>
      <w:ind w:left="360" w:right="0" w:hanging="360"/>
    </w:pPr>
    <w:rPr/>
  </w:style>
  <w:style w:type="paragraph" w:styleId="Listaconnmeros2">
    <w:name w:val="Lista con números 2"/>
    <w:basedOn w:val="Normal"/>
    <w:qFormat/>
    <w:pPr>
      <w:tabs>
        <w:tab w:val="left" w:pos="340" w:leader="none"/>
        <w:tab w:val="left" w:pos="643" w:leader="none"/>
        <w:tab w:val="left" w:pos="680" w:leader="none"/>
      </w:tabs>
      <w:ind w:left="643" w:right="0" w:hanging="360"/>
    </w:pPr>
    <w:rPr/>
  </w:style>
  <w:style w:type="paragraph" w:styleId="Listaconnmeros3">
    <w:name w:val="Lista con números 3"/>
    <w:basedOn w:val="Normal"/>
    <w:qFormat/>
    <w:pPr>
      <w:tabs>
        <w:tab w:val="left" w:pos="340" w:leader="none"/>
        <w:tab w:val="left" w:pos="680" w:leader="none"/>
        <w:tab w:val="left" w:pos="926" w:leader="none"/>
      </w:tabs>
      <w:ind w:left="926" w:right="0" w:hanging="360"/>
    </w:pPr>
    <w:rPr/>
  </w:style>
  <w:style w:type="paragraph" w:styleId="Listaconnmeros4">
    <w:name w:val="Lista con números 4"/>
    <w:basedOn w:val="Normal"/>
    <w:qFormat/>
    <w:pPr>
      <w:tabs>
        <w:tab w:val="left" w:pos="340" w:leader="none"/>
        <w:tab w:val="left" w:pos="680" w:leader="none"/>
        <w:tab w:val="left" w:pos="1209" w:leader="none"/>
      </w:tabs>
      <w:ind w:left="1209" w:right="0" w:hanging="360"/>
    </w:pPr>
    <w:rPr/>
  </w:style>
  <w:style w:type="paragraph" w:styleId="Listaconnmeros5">
    <w:name w:val="Lista con números 5"/>
    <w:basedOn w:val="Normal"/>
    <w:qFormat/>
    <w:pPr>
      <w:tabs>
        <w:tab w:val="left" w:pos="340" w:leader="none"/>
        <w:tab w:val="left" w:pos="680" w:leader="none"/>
        <w:tab w:val="left" w:pos="1492" w:leader="none"/>
      </w:tabs>
      <w:ind w:left="1492" w:right="0" w:hanging="360"/>
    </w:pPr>
    <w:rPr/>
  </w:style>
  <w:style w:type="paragraph" w:styleId="Encabezadodemensaje">
    <w:name w:val="Encabezado de mensaje"/>
    <w:basedOn w:val="Normal"/>
    <w:qFormat/>
    <w:pPr>
      <w:pBdr>
        <w:top w:val="single" w:sz="6" w:space="1" w:color="000000"/>
        <w:left w:val="single" w:sz="6" w:space="1" w:color="000000"/>
        <w:bottom w:val="single" w:sz="6" w:space="1" w:color="000000"/>
        <w:right w:val="single" w:sz="6" w:space="1" w:color="000000"/>
      </w:pBdr>
      <w:shd w:val="clear" w:fill="CCCCCC"/>
      <w:ind w:left="1134" w:right="0" w:hanging="1134"/>
    </w:pPr>
    <w:rPr>
      <w:rFonts w:ascii="Arial" w:hAnsi="Arial" w:cs="Arial"/>
      <w:sz w:val="24"/>
      <w:szCs w:val="24"/>
    </w:rPr>
  </w:style>
  <w:style w:type="paragraph" w:styleId="Textosinformato">
    <w:name w:val="Texto sin formato"/>
    <w:basedOn w:val="Normal"/>
    <w:qFormat/>
    <w:pPr/>
    <w:rPr>
      <w:rFonts w:cs="Courier New"/>
    </w:rPr>
  </w:style>
  <w:style w:type="paragraph" w:styleId="NormalWeb">
    <w:name w:val="Normal (Web)"/>
    <w:basedOn w:val="Normal"/>
    <w:qFormat/>
    <w:pPr/>
    <w:rPr>
      <w:szCs w:val="24"/>
    </w:rPr>
  </w:style>
  <w:style w:type="paragraph" w:styleId="Sangranormal">
    <w:name w:val="Sangría normal"/>
    <w:basedOn w:val="Normal"/>
    <w:qFormat/>
    <w:pPr/>
    <w:rPr/>
  </w:style>
  <w:style w:type="paragraph" w:styleId="Textoindependiente2">
    <w:name w:val="Texto independiente 2"/>
    <w:basedOn w:val="Normal"/>
    <w:qFormat/>
    <w:pPr/>
    <w:rPr/>
  </w:style>
  <w:style w:type="paragraph" w:styleId="Textoindependiente3">
    <w:name w:val="Texto independiente 3"/>
    <w:basedOn w:val="Normal"/>
    <w:qFormat/>
    <w:pPr/>
    <w:rPr>
      <w:szCs w:val="16"/>
    </w:rPr>
  </w:style>
  <w:style w:type="paragraph" w:styleId="Sangra2detindependiente">
    <w:name w:val="Sangría 2 de t. independiente"/>
    <w:basedOn w:val="Normal"/>
    <w:qFormat/>
    <w:pPr/>
    <w:rPr/>
  </w:style>
  <w:style w:type="paragraph" w:styleId="Sangra3detindependiente">
    <w:name w:val="Sangría 3 de t. independiente"/>
    <w:basedOn w:val="Normal"/>
    <w:qFormat/>
    <w:pPr/>
    <w:rPr>
      <w:szCs w:val="16"/>
    </w:rPr>
  </w:style>
  <w:style w:type="paragraph" w:styleId="Textoindependienteprimerasangra">
    <w:name w:val="Texto independiente primera sangría"/>
    <w:basedOn w:val="Normal"/>
    <w:qFormat/>
    <w:pPr/>
    <w:rPr/>
  </w:style>
  <w:style w:type="paragraph" w:styleId="Cuerpodetextoconsangra">
    <w:name w:val="Body Text Indent"/>
    <w:basedOn w:val="Normal"/>
    <w:pPr/>
    <w:rPr/>
  </w:style>
  <w:style w:type="paragraph" w:styleId="Textoindependienteprimerasangra2">
    <w:name w:val="Texto independiente primera sangría 2"/>
    <w:basedOn w:val="Normal"/>
    <w:qFormat/>
    <w:pPr>
      <w:spacing w:before="0" w:after="0"/>
      <w:ind w:left="0" w:right="0" w:firstLine="227"/>
    </w:pPr>
    <w:rPr/>
  </w:style>
  <w:style w:type="paragraph" w:styleId="Itemize">
    <w:name w:val="itemize"/>
    <w:basedOn w:val="Normal"/>
    <w:qFormat/>
    <w:pPr>
      <w:keepLines/>
      <w:spacing w:before="120" w:after="120"/>
      <w:ind w:left="340" w:right="0" w:hanging="340"/>
      <w:contextualSpacing/>
    </w:pPr>
    <w:rPr>
      <w:lang w:val="de-DE"/>
    </w:rPr>
  </w:style>
  <w:style w:type="paragraph" w:styleId="Enumerate">
    <w:name w:val="enumerate"/>
    <w:basedOn w:val="Normal"/>
    <w:qFormat/>
    <w:pPr>
      <w:keepLines/>
      <w:spacing w:before="120" w:after="120"/>
      <w:ind w:left="340" w:right="0" w:hanging="340"/>
      <w:contextualSpacing/>
    </w:pPr>
    <w:rPr/>
  </w:style>
  <w:style w:type="paragraph" w:styleId="StandardAN">
    <w:name w:val="StandardAN"/>
    <w:basedOn w:val="Normal"/>
    <w:qFormat/>
    <w:pPr>
      <w:spacing w:before="0" w:after="300"/>
      <w:contextualSpacing/>
    </w:pPr>
    <w:rPr>
      <w:lang w:val="de-DE"/>
    </w:rPr>
  </w:style>
  <w:style w:type="paragraph" w:styleId="StandardAV">
    <w:name w:val="StandardAV"/>
    <w:basedOn w:val="Normal"/>
    <w:qFormat/>
    <w:pPr>
      <w:spacing w:before="300" w:after="0"/>
    </w:pPr>
    <w:rPr>
      <w:lang w:val="de-DE" w:eastAsia="ja-JP"/>
    </w:rPr>
  </w:style>
  <w:style w:type="paragraph" w:styleId="FigureOA">
    <w:name w:val="figureOA"/>
    <w:basedOn w:val="Figure"/>
    <w:qFormat/>
    <w:pPr>
      <w:spacing w:before="0" w:after="0"/>
    </w:pPr>
    <w:rPr/>
  </w:style>
  <w:style w:type="paragraph" w:styleId="Default">
    <w:name w:val="Default"/>
    <w:qFormat/>
    <w:pPr>
      <w:widowControl/>
      <w:suppressAutoHyphens w:val="true"/>
      <w:overflowPunct w:val="false"/>
      <w:bidi w:val="0"/>
      <w:spacing w:before="0" w:after="0"/>
      <w:jc w:val="left"/>
    </w:pPr>
    <w:rPr>
      <w:rFonts w:ascii="Times New Roman" w:hAnsi="Times New Roman" w:eastAsia="Batang;바탕" w:cs="Times New Roman"/>
      <w:color w:val="auto"/>
      <w:kern w:val="0"/>
      <w:sz w:val="20"/>
      <w:szCs w:val="20"/>
      <w:lang w:val="de-DE" w:eastAsia="zh-CN" w:bidi="ar-SA"/>
    </w:rPr>
  </w:style>
  <w:style w:type="paragraph" w:styleId="P1a">
    <w:name w:val="p1a"/>
    <w:basedOn w:val="Normal"/>
    <w:next w:val="Default"/>
    <w:qFormat/>
    <w:pPr>
      <w:ind w:left="0" w:right="0" w:hanging="0"/>
    </w:pPr>
    <w:rPr>
      <w:szCs w:val="24"/>
    </w:rPr>
  </w:style>
  <w:style w:type="paragraph" w:styleId="ItemRef">
    <w:name w:val="ItemRef"/>
    <w:basedOn w:val="Normal"/>
    <w:qFormat/>
    <w:pPr>
      <w:keepNext w:val="true"/>
      <w:spacing w:before="60" w:after="0"/>
      <w:ind w:left="340" w:right="0" w:hanging="0"/>
    </w:pPr>
    <w:rPr>
      <w:sz w:val="16"/>
      <w:szCs w:val="16"/>
    </w:rPr>
  </w:style>
  <w:style w:type="paragraph" w:styleId="End">
    <w:name w:val="End"/>
    <w:qFormat/>
    <w:pPr>
      <w:widowControl/>
      <w:suppressAutoHyphens w:val="true"/>
      <w:overflowPunct w:val="false"/>
      <w:bidi w:val="0"/>
      <w:spacing w:lineRule="exact" w:line="20" w:before="0" w:after="0"/>
      <w:jc w:val="left"/>
    </w:pPr>
    <w:rPr>
      <w:rFonts w:ascii="Times New Roman" w:hAnsi="Times New Roman" w:eastAsia="Batang;바탕" w:cs="Times New Roman"/>
      <w:color w:val="auto"/>
      <w:kern w:val="0"/>
      <w:sz w:val="2"/>
      <w:szCs w:val="2"/>
      <w:lang w:val="en-US" w:eastAsia="zh-CN" w:bidi="ar-SA"/>
    </w:rPr>
  </w:style>
  <w:style w:type="paragraph" w:styleId="ItemRefStart">
    <w:name w:val="ItemRefStart"/>
    <w:basedOn w:val="ItemRef"/>
    <w:qFormat/>
    <w:pPr>
      <w:spacing w:before="120" w:after="0"/>
    </w:pPr>
    <w:rPr/>
  </w:style>
  <w:style w:type="paragraph" w:styleId="Tablehead">
    <w:name w:val="table_head"/>
    <w:basedOn w:val="Tabletext"/>
    <w:qFormat/>
    <w:pPr>
      <w:spacing w:before="20" w:after="20"/>
      <w:contextualSpacing/>
      <w:jc w:val="center"/>
    </w:pPr>
    <w:rPr/>
  </w:style>
  <w:style w:type="paragraph" w:styleId="Runningtitle">
    <w:name w:val="runningtitle"/>
    <w:basedOn w:val="Standard1pt"/>
    <w:qFormat/>
    <w:pPr>
      <w:tabs>
        <w:tab w:val="clear" w:pos="340"/>
        <w:tab w:val="clear" w:pos="680"/>
        <w:tab w:val="right" w:pos="10036" w:leader="none"/>
      </w:tabs>
      <w:ind w:left="0" w:right="0" w:hanging="0"/>
      <w:jc w:val="left"/>
    </w:pPr>
    <w:rPr/>
  </w:style>
  <w:style w:type="paragraph" w:styleId="FormatvorlageauthoraddressLinks06cmHngend11cm">
    <w:name w:val="Formatvorlage author_address + Links:  06 cm Hängend:  11 cm"/>
    <w:basedOn w:val="Authoraddress"/>
    <w:qFormat/>
    <w:pPr>
      <w:ind w:left="964" w:right="0" w:hanging="624"/>
    </w:pPr>
    <w:rPr>
      <w:rFonts w:eastAsia="Times New Roman"/>
    </w:rPr>
  </w:style>
  <w:style w:type="paragraph" w:styleId="FigureColumnLeftTop">
    <w:name w:val="FigureColumnLeftTop"/>
    <w:basedOn w:val="Figure"/>
    <w:qFormat/>
    <w:pPr>
      <w:keepNext w:val="false"/>
      <w:spacing w:before="0" w:after="100"/>
    </w:pPr>
    <w:rPr/>
  </w:style>
  <w:style w:type="paragraph" w:styleId="FigureColumnLeftBottom">
    <w:name w:val="FigureColumnLeftBottom"/>
    <w:basedOn w:val="FigureColumnLeftTop"/>
    <w:qFormat/>
    <w:pPr>
      <w:spacing w:before="100" w:after="0"/>
    </w:pPr>
    <w:rPr/>
  </w:style>
  <w:style w:type="paragraph" w:styleId="FigureColumnRightTop">
    <w:name w:val="FigureColumnRightTop"/>
    <w:basedOn w:val="FigureColumnLeftTop"/>
    <w:qFormat/>
    <w:pPr/>
    <w:rPr/>
  </w:style>
  <w:style w:type="paragraph" w:styleId="FigureColumnRightBottom">
    <w:name w:val="FigureColumnRightBottom"/>
    <w:basedOn w:val="FigureColumnRightTop"/>
    <w:qFormat/>
    <w:pPr>
      <w:spacing w:before="100" w:after="0"/>
    </w:pPr>
    <w:rPr/>
  </w:style>
  <w:style w:type="paragraph" w:styleId="FigureSideTop">
    <w:name w:val="FigureSideTop"/>
    <w:basedOn w:val="FigureColumnLeftTop"/>
    <w:qFormat/>
    <w:pPr/>
    <w:rPr/>
  </w:style>
  <w:style w:type="paragraph" w:styleId="FigureSideBottom">
    <w:name w:val="FigureSideBottom"/>
    <w:basedOn w:val="FigureSideTop"/>
    <w:qFormat/>
    <w:pPr>
      <w:spacing w:before="100" w:after="0"/>
    </w:pPr>
    <w:rPr/>
  </w:style>
  <w:style w:type="paragraph" w:styleId="Abbildung">
    <w:name w:val="Abbildung"/>
    <w:basedOn w:val="Figure"/>
    <w:next w:val="Figlegend"/>
    <w:qFormat/>
    <w:pPr/>
    <w:rPr/>
  </w:style>
  <w:style w:type="paragraph" w:styleId="Ndice7">
    <w:name w:val="Índice 7"/>
    <w:basedOn w:val="Normal"/>
    <w:next w:val="Normal"/>
    <w:qFormat/>
    <w:pPr>
      <w:tabs>
        <w:tab w:val="clear" w:pos="340"/>
        <w:tab w:val="clear" w:pos="680"/>
      </w:tabs>
      <w:ind w:left="1400" w:right="0" w:hanging="200"/>
    </w:pPr>
    <w:rPr/>
  </w:style>
  <w:style w:type="paragraph" w:styleId="Ndice8">
    <w:name w:val="Índice 8"/>
    <w:basedOn w:val="Normal"/>
    <w:next w:val="Normal"/>
    <w:qFormat/>
    <w:pPr>
      <w:tabs>
        <w:tab w:val="clear" w:pos="340"/>
        <w:tab w:val="clear" w:pos="680"/>
      </w:tabs>
      <w:ind w:left="1600" w:right="0" w:hanging="200"/>
    </w:pPr>
    <w:rPr/>
  </w:style>
  <w:style w:type="paragraph" w:styleId="Ndice9">
    <w:name w:val="Índice 9"/>
    <w:basedOn w:val="Normal"/>
    <w:next w:val="Normal"/>
    <w:qFormat/>
    <w:pPr>
      <w:tabs>
        <w:tab w:val="clear" w:pos="340"/>
        <w:tab w:val="clear" w:pos="680"/>
      </w:tabs>
      <w:ind w:left="1800" w:right="0" w:hanging="200"/>
    </w:pPr>
    <w:rPr/>
  </w:style>
  <w:style w:type="paragraph" w:styleId="StandardZG">
    <w:name w:val="StandardZG"/>
    <w:basedOn w:val="Normal"/>
    <w:qFormat/>
    <w:pPr>
      <w:spacing w:lineRule="exact" w:line="230"/>
    </w:pPr>
    <w:rPr/>
  </w:style>
  <w:style w:type="paragraph" w:styleId="Textocomentario">
    <w:name w:val="Texto comentario"/>
    <w:basedOn w:val="Normal"/>
    <w:qFormat/>
    <w:pPr/>
    <w:rPr/>
  </w:style>
  <w:style w:type="paragraph" w:styleId="Kommentarthema">
    <w:name w:val="Kommentarthema"/>
    <w:basedOn w:val="Textocomentario"/>
    <w:next w:val="Textocomentario"/>
    <w:qFormat/>
    <w:pPr/>
    <w:rPr>
      <w:b/>
      <w:bCs/>
    </w:rPr>
  </w:style>
  <w:style w:type="paragraph" w:styleId="Textomacro">
    <w:name w:val="Texto macro"/>
    <w:qFormat/>
    <w:pPr>
      <w:widowControl/>
      <w:tabs>
        <w:tab w:val="clear" w:pos="709"/>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ind w:left="0" w:right="0" w:firstLine="227"/>
      <w:jc w:val="both"/>
    </w:pPr>
    <w:rPr>
      <w:rFonts w:ascii="Courier New" w:hAnsi="Courier New" w:eastAsia="Batang;바탕" w:cs="Courier New"/>
      <w:color w:val="auto"/>
      <w:kern w:val="0"/>
      <w:sz w:val="20"/>
      <w:szCs w:val="20"/>
      <w:lang w:val="en-US" w:eastAsia="zh-CN" w:bidi="ar-SA"/>
    </w:rPr>
  </w:style>
  <w:style w:type="paragraph" w:styleId="Textoconsangra">
    <w:name w:val="Texto con sangría"/>
    <w:basedOn w:val="Normal"/>
    <w:next w:val="Normal"/>
    <w:qFormat/>
    <w:pPr>
      <w:tabs>
        <w:tab w:val="clear" w:pos="340"/>
        <w:tab w:val="clear" w:pos="680"/>
      </w:tabs>
    </w:pPr>
    <w:rPr/>
  </w:style>
  <w:style w:type="paragraph" w:styleId="Sprechblasentext">
    <w:name w:val="Sprechblasentext"/>
    <w:basedOn w:val="Normal"/>
    <w:qFormat/>
    <w:pPr/>
    <w:rPr>
      <w:rFonts w:ascii="Tahoma" w:hAnsi="Tahoma" w:cs="Tahoma"/>
      <w:sz w:val="16"/>
      <w:szCs w:val="16"/>
    </w:rPr>
  </w:style>
  <w:style w:type="paragraph" w:styleId="Sumario1">
    <w:name w:val="TOC 1"/>
    <w:basedOn w:val="Normal"/>
    <w:next w:val="Normal"/>
    <w:pPr>
      <w:tabs>
        <w:tab w:val="clear" w:pos="340"/>
        <w:tab w:val="clear" w:pos="680"/>
      </w:tabs>
    </w:pPr>
    <w:rPr/>
  </w:style>
  <w:style w:type="paragraph" w:styleId="Sumario2">
    <w:name w:val="TOC 2"/>
    <w:basedOn w:val="Normal"/>
    <w:next w:val="Normal"/>
    <w:pPr>
      <w:tabs>
        <w:tab w:val="clear" w:pos="340"/>
        <w:tab w:val="clear" w:pos="680"/>
      </w:tabs>
      <w:ind w:left="200" w:right="0" w:firstLine="227"/>
    </w:pPr>
    <w:rPr/>
  </w:style>
  <w:style w:type="paragraph" w:styleId="Sumario3">
    <w:name w:val="TOC 3"/>
    <w:basedOn w:val="Normal"/>
    <w:next w:val="Normal"/>
    <w:pPr>
      <w:tabs>
        <w:tab w:val="clear" w:pos="340"/>
        <w:tab w:val="clear" w:pos="680"/>
      </w:tabs>
      <w:ind w:left="400" w:right="0" w:firstLine="227"/>
    </w:pPr>
    <w:rPr/>
  </w:style>
  <w:style w:type="paragraph" w:styleId="Sumario4">
    <w:name w:val="TOC 4"/>
    <w:basedOn w:val="Normal"/>
    <w:next w:val="Normal"/>
    <w:pPr>
      <w:tabs>
        <w:tab w:val="clear" w:pos="340"/>
        <w:tab w:val="clear" w:pos="680"/>
      </w:tabs>
      <w:ind w:left="600" w:right="0" w:firstLine="227"/>
    </w:pPr>
    <w:rPr/>
  </w:style>
  <w:style w:type="paragraph" w:styleId="Sumario5">
    <w:name w:val="TOC 5"/>
    <w:basedOn w:val="Normal"/>
    <w:next w:val="Normal"/>
    <w:pPr>
      <w:tabs>
        <w:tab w:val="clear" w:pos="340"/>
        <w:tab w:val="clear" w:pos="680"/>
      </w:tabs>
      <w:ind w:left="800" w:right="0" w:firstLine="227"/>
    </w:pPr>
    <w:rPr/>
  </w:style>
  <w:style w:type="paragraph" w:styleId="Sumario6">
    <w:name w:val="TOC 6"/>
    <w:basedOn w:val="Normal"/>
    <w:next w:val="Normal"/>
    <w:pPr>
      <w:tabs>
        <w:tab w:val="clear" w:pos="340"/>
        <w:tab w:val="clear" w:pos="680"/>
      </w:tabs>
      <w:ind w:left="1000" w:right="0" w:firstLine="227"/>
    </w:pPr>
    <w:rPr/>
  </w:style>
  <w:style w:type="paragraph" w:styleId="Sumario7">
    <w:name w:val="TOC 7"/>
    <w:basedOn w:val="Normal"/>
    <w:next w:val="Normal"/>
    <w:pPr>
      <w:tabs>
        <w:tab w:val="clear" w:pos="340"/>
        <w:tab w:val="clear" w:pos="680"/>
      </w:tabs>
      <w:ind w:left="1200" w:right="0" w:firstLine="227"/>
    </w:pPr>
    <w:rPr/>
  </w:style>
  <w:style w:type="paragraph" w:styleId="Sumario8">
    <w:name w:val="TOC 8"/>
    <w:basedOn w:val="Normal"/>
    <w:next w:val="Normal"/>
    <w:pPr>
      <w:tabs>
        <w:tab w:val="clear" w:pos="340"/>
        <w:tab w:val="clear" w:pos="680"/>
      </w:tabs>
      <w:ind w:left="1400" w:right="0" w:firstLine="227"/>
    </w:pPr>
    <w:rPr/>
  </w:style>
  <w:style w:type="paragraph" w:styleId="Sumario9">
    <w:name w:val="TOC 9"/>
    <w:basedOn w:val="Normal"/>
    <w:next w:val="Normal"/>
    <w:pPr>
      <w:tabs>
        <w:tab w:val="clear" w:pos="340"/>
        <w:tab w:val="clear" w:pos="680"/>
      </w:tabs>
      <w:ind w:left="1600" w:right="0" w:firstLine="227"/>
    </w:pPr>
    <w:rPr/>
  </w:style>
  <w:style w:type="paragraph" w:styleId="HTMLconformatoprevio">
    <w:name w:val="HTML con formato previo"/>
    <w:basedOn w:val="Normal"/>
    <w:qFormat/>
    <w:pPr>
      <w:ind w:left="0" w:right="0" w:hanging="0"/>
    </w:pPr>
    <w:rPr>
      <w:rFonts w:ascii="Courier New" w:hAnsi="Courier New" w:cs="Courier New"/>
    </w:rPr>
  </w:style>
  <w:style w:type="paragraph" w:styleId="Textodeglobo">
    <w:name w:val="Texto de globo"/>
    <w:basedOn w:val="Normal"/>
    <w:qFormat/>
    <w:pPr/>
    <w:rPr>
      <w:rFonts w:ascii="Tahoma" w:hAnsi="Tahoma" w:cs="Tahoma"/>
      <w:sz w:val="16"/>
      <w:szCs w:val="16"/>
    </w:rPr>
  </w:style>
  <w:style w:type="paragraph" w:styleId="Destinatario">
    <w:name w:val="Envelope Address"/>
    <w:basedOn w:val="Normal"/>
    <w:pPr/>
    <w:rPr>
      <w:rFonts w:cs="Arial"/>
      <w:szCs w:val="24"/>
    </w:rPr>
  </w:style>
  <w:style w:type="paragraph" w:styleId="Firma">
    <w:name w:val="Signature"/>
    <w:basedOn w:val="Normal"/>
    <w:pPr/>
    <w:rPr/>
  </w:style>
  <w:style w:type="paragraph" w:styleId="Subttulo">
    <w:name w:val="Subtitle"/>
    <w:basedOn w:val="Normal"/>
    <w:next w:val="Cuerpodetexto"/>
    <w:qFormat/>
    <w:pPr/>
    <w:rPr>
      <w:rFonts w:cs="Arial"/>
      <w:szCs w:val="24"/>
    </w:rPr>
  </w:style>
  <w:style w:type="paragraph" w:styleId="TablelegendInTable">
    <w:name w:val="tablelegendInTable"/>
    <w:basedOn w:val="Tablelegend"/>
    <w:qFormat/>
    <w:pPr>
      <w:spacing w:before="0" w:after="100"/>
      <w:contextualSpacing/>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Figura">
    <w:name w:val="Figura"/>
    <w:basedOn w:val="Leyenda"/>
    <w:qFormat/>
    <w:pPr/>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634</TotalTime>
  <Application>LibreOffice/7.3.7.2$Linux_X86_64 LibreOffice_project/30$Build-2</Application>
  <AppVersion>15.0000</AppVersion>
  <Pages>8</Pages>
  <Words>2615</Words>
  <Characters>13871</Characters>
  <CharactersWithSpaces>16314</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2023-01-12T09:24:00Z</dcterms:created>
  <dc:creator>José Folgueras</dc:creator>
  <dc:description/>
  <dc:language>es-US</dc:language>
  <cp:lastModifiedBy/>
  <cp:lastPrinted>2007-03-08T15:41:00Z</cp:lastPrinted>
  <dcterms:modified xsi:type="dcterms:W3CDTF">2023-01-31T13:20:47Z</dcterms:modified>
  <cp:revision>77</cp:revision>
  <dc:subject/>
  <dc:title>Plantilla VIII Congreso SCB.doc</dc:title>
</cp:coreProperties>
</file>

<file path=docProps/custom.xml><?xml version="1.0" encoding="utf-8"?>
<Properties xmlns="http://schemas.openxmlformats.org/officeDocument/2006/custom-properties" xmlns:vt="http://schemas.openxmlformats.org/officeDocument/2006/docPropsVTypes"/>
</file>